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5" w:rsidRDefault="00C54A95" w:rsidP="00C54A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2023г. № Проект О внесении изменений в постановление от 30.04.2019г. № 46 «О порядке формирования, утверждения и ведения Плана-графика закупок товаров, работ, услуг для обеспечения муниципальных нужд Троицкокраснянского сельсовета Щигровского района Курской области»П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2023г. №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30.04.2019г. № 46 «О порядке формирования, утверждения и ведения Плана-графика закупок товаров, работ, услуг для обеспечения муниципальных нужд Троицкокраснянского сельсовета Щигровского района Курской области»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c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От     2023г.   №                    Проект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 внесении изменений в постановление от 30.04.2019г. № 46 «О порядке формирования, утверждения и ведения Плана-графика закупок товаров, работ, услуг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c"/>
          <w:rFonts w:ascii="Tahoma" w:hAnsi="Tahoma" w:cs="Tahoma"/>
          <w:color w:val="000000"/>
          <w:sz w:val="18"/>
          <w:szCs w:val="18"/>
        </w:rPr>
        <w:t>для обеспечения муниципальных нужд Троицкокраснянского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c"/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Федерального закона от 01.05.2019 г.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РФ от 30.09.2019г. № 1279 (в ред. от 31.12.2022) 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форме планов-графиков закупок», Администрация Троицкокраснянского сельсовета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Постановляет: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Порядок формирования, утверждения и ведения планов-графиков закупок товаров, работ, услуг для обеспечения муниципальных нужд Троицкокраснянского сельсовета Щигровского района Курской области, утвержденный постановлением Администрации Троицкокраснянского сельсовета от 30.04.2019 г. №46 следующие изменения: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Порядка слова «и </w:t>
      </w:r>
      <w:hyperlink r:id="rId8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В пункте 3 Порядка  слова «Планы-графики закупок формируются заказчиками в соответствии с утвержденными планами закупок товаров, работ,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ведения, содержащиеся в плане-графике закупок, не должны противоречить сведениям, содержащимся в плане закупок»исключить.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    В пункте 6 Порядка слова «в соответствии с планом закупок» исключить.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        Пункт 9 Порядка изложить в новой редакции: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9.8. возникновения обстоятельств, предвидеть которые на дату утверждения плана-графика закупок было невозможно;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 исполнения предписания органов контроля, указанных в </w:t>
      </w:r>
      <w:hyperlink r:id="rId9" w:anchor="dst10137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части 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9.11 признания определения поставщика (подрядчика, исполнителя)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несостоявшимся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9.12 расторжения контракта;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9.13 возникновения иных обстоятельств, предвидеть которые при утверждении плана-графика было невозможно.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        Пункт 17 Порядка изложить в новой редакции: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Информация, включаемая в план-график закупок, должна соответствовать  в том числе: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                      Озеров Г.А.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4A95" w:rsidRDefault="00C54A95" w:rsidP="00C54A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C54A95" w:rsidRDefault="00C46A8B" w:rsidP="00C54A95"/>
    <w:sectPr w:rsidR="00C46A8B" w:rsidRPr="00C54A95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E2" w:rsidRDefault="003E26E2" w:rsidP="00CF753A">
      <w:r>
        <w:separator/>
      </w:r>
    </w:p>
  </w:endnote>
  <w:endnote w:type="continuationSeparator" w:id="0">
    <w:p w:rsidR="003E26E2" w:rsidRDefault="003E26E2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E2" w:rsidRDefault="003E26E2" w:rsidP="00CF753A">
      <w:r>
        <w:separator/>
      </w:r>
    </w:p>
  </w:footnote>
  <w:footnote w:type="continuationSeparator" w:id="0">
    <w:p w:rsidR="003E26E2" w:rsidRDefault="003E26E2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E59BE"/>
    <w:rsid w:val="00222809"/>
    <w:rsid w:val="002461B4"/>
    <w:rsid w:val="00395726"/>
    <w:rsid w:val="003E26E2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8C4BF4"/>
    <w:rsid w:val="00A05867"/>
    <w:rsid w:val="00A55821"/>
    <w:rsid w:val="00B13E1D"/>
    <w:rsid w:val="00B72DF7"/>
    <w:rsid w:val="00B833D5"/>
    <w:rsid w:val="00C46A8B"/>
    <w:rsid w:val="00C54A95"/>
    <w:rsid w:val="00CB3362"/>
    <w:rsid w:val="00CF139B"/>
    <w:rsid w:val="00CF753A"/>
    <w:rsid w:val="00D00520"/>
    <w:rsid w:val="00D2227D"/>
    <w:rsid w:val="00EC39B8"/>
    <w:rsid w:val="00EF339D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FB9123B5914966EC1DF0149F5CA8D9A458F695EC792DCE1E6DB3E1WFBC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AFB9123B5914966EC1DF0149F5CA8D9A75BF498E7792DCE1E6DB3E1FCFA7358D1FD4082ED8640W1B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3281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19</cp:revision>
  <dcterms:created xsi:type="dcterms:W3CDTF">2024-03-06T19:26:00Z</dcterms:created>
  <dcterms:modified xsi:type="dcterms:W3CDTF">2025-04-28T06:02:00Z</dcterms:modified>
</cp:coreProperties>
</file>