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  <w:r w:rsidRPr="002735C1">
        <w:rPr>
          <w:b/>
          <w:noProof/>
          <w:lang w:val="ru-RU" w:eastAsia="ru-RU"/>
        </w:rPr>
        <w:drawing>
          <wp:inline distT="0" distB="0" distL="0" distR="0" wp14:anchorId="53592779" wp14:editId="1E4C3C3A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D3120B" w:rsidRDefault="002735C1" w:rsidP="002735C1">
      <w:pPr>
        <w:jc w:val="center"/>
        <w:rPr>
          <w:b/>
          <w:sz w:val="40"/>
          <w:szCs w:val="40"/>
          <w:lang w:val="ru-RU"/>
        </w:rPr>
      </w:pPr>
      <w:r w:rsidRPr="00D3120B">
        <w:rPr>
          <w:b/>
          <w:sz w:val="40"/>
          <w:szCs w:val="40"/>
          <w:lang w:val="ru-RU"/>
        </w:rPr>
        <w:t>АДМИНИСТРАЦИЯ</w:t>
      </w:r>
    </w:p>
    <w:p w:rsidR="002735C1" w:rsidRPr="00D3120B" w:rsidRDefault="00D3120B" w:rsidP="002735C1">
      <w:pPr>
        <w:jc w:val="center"/>
        <w:rPr>
          <w:b/>
          <w:sz w:val="40"/>
          <w:szCs w:val="40"/>
          <w:lang w:val="ru-RU"/>
        </w:rPr>
      </w:pPr>
      <w:r w:rsidRPr="00D3120B">
        <w:rPr>
          <w:b/>
          <w:sz w:val="40"/>
          <w:szCs w:val="40"/>
          <w:lang w:val="ru-RU"/>
        </w:rPr>
        <w:t>ТРОИЦКОКРАСНЯНСКОГО</w:t>
      </w:r>
      <w:r w:rsidR="002735C1" w:rsidRPr="00D3120B">
        <w:rPr>
          <w:b/>
          <w:sz w:val="40"/>
          <w:szCs w:val="40"/>
          <w:lang w:val="ru-RU"/>
        </w:rPr>
        <w:t xml:space="preserve"> СЕЛЬСОВЕТА</w:t>
      </w:r>
    </w:p>
    <w:p w:rsidR="002735C1" w:rsidRPr="002735C1" w:rsidRDefault="002735C1" w:rsidP="002735C1">
      <w:pPr>
        <w:jc w:val="center"/>
        <w:rPr>
          <w:sz w:val="40"/>
          <w:szCs w:val="40"/>
          <w:lang w:val="ru-RU"/>
        </w:rPr>
      </w:pPr>
      <w:r w:rsidRPr="002735C1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П О С Т А Н О В Л Е Н И Е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от «_»_____ 2021 г.</w:t>
      </w:r>
      <w:r w:rsidRPr="002735C1">
        <w:rPr>
          <w:b/>
          <w:bCs/>
          <w:sz w:val="24"/>
          <w:szCs w:val="24"/>
          <w:lang w:eastAsia="ru-RU"/>
        </w:rPr>
        <w:t>    </w:t>
      </w:r>
      <w:r w:rsidRPr="002735C1">
        <w:rPr>
          <w:b/>
          <w:bCs/>
          <w:sz w:val="24"/>
          <w:szCs w:val="24"/>
          <w:lang w:val="ru-RU" w:eastAsia="ru-RU"/>
        </w:rPr>
        <w:t xml:space="preserve"> № 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3120B">
        <w:rPr>
          <w:b/>
          <w:bCs/>
          <w:sz w:val="24"/>
          <w:szCs w:val="24"/>
          <w:lang w:val="ru-RU" w:eastAsia="ru-RU"/>
        </w:rPr>
        <w:t>Троицкокраснянского</w:t>
      </w:r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D3120B">
        <w:rPr>
          <w:sz w:val="24"/>
          <w:szCs w:val="24"/>
          <w:lang w:val="ru-RU" w:eastAsia="ru-RU"/>
        </w:rPr>
        <w:t>Троицкокраснянского</w:t>
      </w:r>
      <w:r w:rsidRPr="002735C1">
        <w:rPr>
          <w:sz w:val="24"/>
          <w:szCs w:val="24"/>
          <w:lang w:val="ru-RU" w:eastAsia="ru-RU"/>
        </w:rPr>
        <w:t xml:space="preserve">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sz w:val="24"/>
          <w:szCs w:val="24"/>
          <w:lang w:val="ru-RU" w:eastAsia="ru-RU"/>
        </w:rPr>
        <w:t xml:space="preserve"> </w:t>
      </w:r>
      <w:r w:rsidRPr="002735C1">
        <w:rPr>
          <w:b/>
          <w:bCs/>
          <w:sz w:val="24"/>
          <w:szCs w:val="24"/>
          <w:lang w:val="ru-RU" w:eastAsia="ru-RU"/>
        </w:rPr>
        <w:t>П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3120B">
        <w:rPr>
          <w:sz w:val="24"/>
          <w:szCs w:val="24"/>
          <w:lang w:val="ru-RU" w:eastAsia="ru-RU"/>
        </w:rPr>
        <w:t>Троицкокраснянского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D3120B">
        <w:rPr>
          <w:sz w:val="24"/>
          <w:szCs w:val="24"/>
          <w:lang w:val="ru-RU" w:eastAsia="ru-RU"/>
        </w:rPr>
        <w:t>Троицкокраснянского</w:t>
      </w:r>
      <w:r w:rsidRPr="002735C1">
        <w:rPr>
          <w:sz w:val="24"/>
          <w:szCs w:val="24"/>
          <w:lang w:val="ru-RU" w:eastAsia="ru-RU"/>
        </w:rPr>
        <w:t xml:space="preserve">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r w:rsidR="00D3120B">
        <w:rPr>
          <w:rFonts w:ascii="Times New Roman" w:hAnsi="Times New Roman" w:cs="Times New Roman"/>
          <w:bCs/>
        </w:rPr>
        <w:t>Троицкокраснянского</w:t>
      </w:r>
      <w:r w:rsidRPr="002735C1">
        <w:rPr>
          <w:rFonts w:ascii="Times New Roman" w:hAnsi="Times New Roman" w:cs="Times New Roman"/>
          <w:bCs/>
        </w:rPr>
        <w:t xml:space="preserve"> сельсовета           </w:t>
      </w:r>
      <w:r w:rsidR="00D3120B">
        <w:rPr>
          <w:rFonts w:ascii="Times New Roman" w:hAnsi="Times New Roman" w:cs="Times New Roman"/>
          <w:bCs/>
        </w:rPr>
        <w:t xml:space="preserve">                                     Г.А. Озеров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r w:rsidR="00D3120B">
        <w:rPr>
          <w:rFonts w:ascii="Times New Roman" w:hAnsi="Times New Roman" w:cs="Times New Roman"/>
          <w:bCs/>
        </w:rPr>
        <w:t>Троицкокраснянского</w:t>
      </w:r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От «___»_______2021г. №____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D3120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D3120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D3120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D3120B">
              <w:rPr>
                <w:sz w:val="24"/>
                <w:szCs w:val="24"/>
                <w:lang w:val="ru-RU"/>
              </w:rPr>
              <w:t>Троицкокраснянского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сельсовета Щигровского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D3120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D3120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D3120B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D3120B">
        <w:rPr>
          <w:sz w:val="24"/>
          <w:szCs w:val="24"/>
          <w:lang w:val="ru-RU"/>
        </w:rPr>
        <w:t>Троицкокраснянский</w:t>
      </w:r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D3120B">
        <w:t>Троицкокраснянского</w:t>
      </w:r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D3120B">
        <w:t>Троицкокраснянского</w:t>
      </w:r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D3120B">
        <w:t>Троицкокраснянского</w:t>
      </w:r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2735C1">
        <w:rPr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D3120B">
        <w:rPr>
          <w:sz w:val="24"/>
          <w:szCs w:val="24"/>
          <w:lang w:val="ru-RU" w:eastAsia="ru-RU"/>
        </w:rPr>
        <w:t>Троицкокраснянского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D3120B">
        <w:rPr>
          <w:sz w:val="24"/>
          <w:szCs w:val="24"/>
          <w:lang w:val="ru-RU" w:eastAsia="ru-RU"/>
        </w:rPr>
        <w:t>Троицкокраснянского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35C1" w:rsidRDefault="005D25D6" w:rsidP="002735C1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35C1">
        <w:rPr>
          <w:rFonts w:eastAsia="Calibri"/>
          <w:b/>
          <w:sz w:val="24"/>
          <w:szCs w:val="24"/>
        </w:rPr>
        <w:t>. Оценка эффективности Программы</w:t>
      </w:r>
    </w:p>
    <w:p w:rsidR="002735C1" w:rsidRPr="002735C1" w:rsidRDefault="002735C1" w:rsidP="002735C1">
      <w:pPr>
        <w:ind w:left="720"/>
        <w:rPr>
          <w:b/>
          <w:sz w:val="24"/>
          <w:szCs w:val="24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D3120B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  <w:bookmarkStart w:id="0" w:name="_GoBack"/>
      <w:bookmarkEnd w:id="0"/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D3120B">
        <w:rPr>
          <w:color w:val="000000"/>
          <w:sz w:val="24"/>
          <w:szCs w:val="24"/>
          <w:lang w:val="ru-RU" w:eastAsia="ru-RU"/>
        </w:rPr>
        <w:t>Троицкокраснянского</w:t>
      </w:r>
      <w:r>
        <w:rPr>
          <w:color w:val="000000"/>
          <w:sz w:val="24"/>
          <w:szCs w:val="24"/>
          <w:lang w:val="ru-RU" w:eastAsia="ru-RU"/>
        </w:rPr>
        <w:t xml:space="preserve"> сельсовета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D3120B">
              <w:rPr>
                <w:sz w:val="24"/>
                <w:szCs w:val="24"/>
                <w:lang w:val="ru-RU"/>
              </w:rPr>
              <w:t>Троицкокраснянского</w:t>
            </w:r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71" w:rsidRPr="002069D3" w:rsidRDefault="005B1D71" w:rsidP="002069D3">
      <w:r>
        <w:separator/>
      </w:r>
    </w:p>
  </w:endnote>
  <w:endnote w:type="continuationSeparator" w:id="0">
    <w:p w:rsidR="005B1D71" w:rsidRPr="002069D3" w:rsidRDefault="005B1D7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71" w:rsidRPr="002069D3" w:rsidRDefault="005B1D71" w:rsidP="002069D3">
      <w:r>
        <w:separator/>
      </w:r>
    </w:p>
  </w:footnote>
  <w:footnote w:type="continuationSeparator" w:id="0">
    <w:p w:rsidR="005B1D71" w:rsidRPr="002069D3" w:rsidRDefault="005B1D71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1D7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120B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579C2-D66C-47E6-BB4A-85FCB99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Machine</cp:lastModifiedBy>
  <cp:revision>11</cp:revision>
  <cp:lastPrinted>2021-09-13T07:19:00Z</cp:lastPrinted>
  <dcterms:created xsi:type="dcterms:W3CDTF">2021-11-09T13:50:00Z</dcterms:created>
  <dcterms:modified xsi:type="dcterms:W3CDTF">2021-11-11T06:22:00Z</dcterms:modified>
</cp:coreProperties>
</file>