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D" w:rsidRDefault="00064DBD" w:rsidP="00064DB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О С Т А Н О В Л Е Н И Е «29» ноября 2021 г. № 71 Об утверждении муниципальной программы «Организация и содержание мест захоронения в Троицкокраснянском сельсовете Щигровского района Курской области на 2022-2024 годы»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 О С Т А Н О В Л Е Н И Е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«29» ноября 2021 г. № 71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утверждении  муниципальной 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 «Организация и содержание мест захоронения в Троицкокраснянском сельсовете Щигровского района Курской области на 2022-2024 годы»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Федеральными законами от 12.01.1996г. № 8-ФЗ «О погребении и похоронном деле», от 06.10.2003г. </w:t>
      </w:r>
      <w:hyperlink r:id="rId5" w:history="1">
        <w:r>
          <w:rPr>
            <w:rStyle w:val="a7"/>
            <w:sz w:val="27"/>
            <w:szCs w:val="27"/>
          </w:rPr>
          <w:t>№ 131-ФЗ</w:t>
        </w:r>
      </w:hyperlink>
      <w:r>
        <w:rPr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Администрация Троицкокраснянского сельсовета Щигровского района Курской области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прилагаемую  муниципальную  программу «Организация и содержание мест захоронения в Троицкокраснянском  сельсовете Щигровского района Курской области на 2022-2024 годы»;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Разместить на официальном сайте Администрации Троицкокраснянского сельского поселения в информационно-телекоммуникационной сети «Интернет».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3. Постановление вступает в силу со дня его обнародования.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  Троицкокраснянского сельсовета                                        Г.А. Озеров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«29» ноября 2021 года № 71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  программа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«Организация и содержание мест захоронения в Троицкокраснянском  сельсовете Щигровского района Курской области на 2022-2024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годы»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 Программы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79"/>
        <w:gridCol w:w="5544"/>
        <w:gridCol w:w="6"/>
      </w:tblGrid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Наименование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 Муниципальная  программа «Организация и содержание мест захоронения в Троицкокраснянском  сельсовете Щигровского района Курской области на 2022-2024 годы»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6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lastRenderedPageBreak/>
              <w:t>Основание для разработки Программы 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Федеральный закон от 12.01.1996г. № 8-ФЗ «О погребении и похоронном деле»,</w:t>
            </w:r>
          </w:p>
          <w:p w:rsidR="00064DBD" w:rsidRDefault="00064DBD">
            <w:pPr>
              <w:pStyle w:val="aa"/>
            </w:pPr>
            <w:r>
              <w:t>Федеральный закон от 06.10.2003г. </w:t>
            </w:r>
            <w:hyperlink r:id="rId6" w:history="1">
              <w:r>
                <w:rPr>
                  <w:rStyle w:val="a7"/>
                </w:rPr>
                <w:t>№ 131-ФЗ</w:t>
              </w:r>
            </w:hyperlink>
            <w: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:rsidR="00064DBD" w:rsidRDefault="00064DBD">
            <w:pPr>
              <w:pStyle w:val="aa"/>
            </w:pPr>
            <w:r>
              <w:t> </w:t>
            </w:r>
          </w:p>
          <w:p w:rsidR="00064DBD" w:rsidRDefault="00064DBD">
            <w:pPr>
              <w:pStyle w:val="aa"/>
            </w:pPr>
            <w:r>
              <w:t>Устав Троицкокраснянского сельсовета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Заказчик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  <w:jc w:val="center"/>
            </w:pPr>
            <w:r>
              <w:t>Администрация Троицкокраснянского сельсовета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Разработчик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  <w:jc w:val="center"/>
            </w:pPr>
            <w:r>
              <w:t>Администрация Троицкокраснянского сельсовета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Исполнители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  <w:jc w:val="center"/>
            </w:pPr>
            <w:r>
              <w:t>Администрация Троицкокраснянского сельсовета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15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Цель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064DBD" w:rsidRDefault="00064DBD">
            <w:pPr>
              <w:pStyle w:val="aa"/>
            </w:pPr>
            <w:r>
              <w:t>-создание оптимальных условий жителям Троицкокраснянского сельсовета</w:t>
            </w:r>
          </w:p>
          <w:p w:rsidR="00064DBD" w:rsidRDefault="00064DBD">
            <w:pPr>
              <w:pStyle w:val="aa"/>
            </w:pPr>
            <w:r>
              <w:t>по посещению и уходом за местами захоронений;</w:t>
            </w:r>
          </w:p>
          <w:p w:rsidR="00064DBD" w:rsidRDefault="00064DBD">
            <w:pPr>
              <w:pStyle w:val="aa"/>
            </w:pPr>
            <w:r>
              <w:t>-расширение, благоустройство и сохранность мест захоронений умерших граждан.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Задачи Программы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064DBD" w:rsidRDefault="00064DBD">
            <w:pPr>
              <w:pStyle w:val="aa"/>
            </w:pPr>
            <w:r>
              <w:t>-проведение мероприятий по планированию новых мест для захоронений на действующих кладбищах.</w:t>
            </w:r>
          </w:p>
          <w:p w:rsidR="00064DBD" w:rsidRDefault="00064DBD">
            <w:pPr>
              <w:pStyle w:val="aa"/>
            </w:pPr>
            <w:r>
              <w:t>-содержание в исправном состоянии и ремонт оград кладбищ.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Срок реализации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2022-2024 года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9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Механизм реализации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Механизм реализации Программы указан в Мероприятиях Программы.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15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Источники и объемы финансирования</w:t>
            </w:r>
            <w:r>
              <w:br/>
            </w:r>
            <w:r>
              <w:lastRenderedPageBreak/>
              <w:t>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lastRenderedPageBreak/>
              <w:t>общий объем финансирования составит</w:t>
            </w:r>
          </w:p>
          <w:p w:rsidR="00064DBD" w:rsidRDefault="00064DBD">
            <w:pPr>
              <w:pStyle w:val="aa"/>
            </w:pPr>
            <w:r>
              <w:lastRenderedPageBreak/>
              <w:t>1 тыс. рублей – 2022 год;</w:t>
            </w:r>
          </w:p>
          <w:p w:rsidR="00064DBD" w:rsidRDefault="00064DBD">
            <w:pPr>
              <w:pStyle w:val="aa"/>
            </w:pPr>
            <w:r>
              <w:t>1 тыс. рублей – 2023 год.</w:t>
            </w:r>
          </w:p>
          <w:p w:rsidR="00064DBD" w:rsidRDefault="00064DBD">
            <w:pPr>
              <w:pStyle w:val="aa"/>
            </w:pPr>
            <w:r>
              <w:t>1 тыс. рублей – 2024 год.</w:t>
            </w:r>
          </w:p>
          <w:p w:rsidR="00064DBD" w:rsidRDefault="00064DBD">
            <w:pPr>
              <w:pStyle w:val="aa"/>
            </w:pPr>
            <w:r>
              <w:t> </w:t>
            </w:r>
          </w:p>
          <w:p w:rsidR="00064DBD" w:rsidRDefault="00064DBD">
            <w:pPr>
              <w:pStyle w:val="aa"/>
            </w:pPr>
            <w:r>
              <w:t>100% - бюджет поселения – в 2022 году;</w:t>
            </w:r>
          </w:p>
          <w:p w:rsidR="00064DBD" w:rsidRDefault="00064DBD">
            <w:pPr>
              <w:pStyle w:val="aa"/>
            </w:pPr>
            <w:r>
              <w:t>100% - бюджет поселения – в 2023 году.</w:t>
            </w:r>
          </w:p>
          <w:p w:rsidR="00064DBD" w:rsidRDefault="00064DBD">
            <w:pPr>
              <w:pStyle w:val="aa"/>
            </w:pPr>
            <w:r>
              <w:t>100% - бюджет поселения – в 2024 году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135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  <w:jc w:val="right"/>
            </w:pPr>
            <w:r>
              <w:t>общий контроль за исполнением Программы,</w:t>
            </w:r>
          </w:p>
          <w:p w:rsidR="00064DBD" w:rsidRDefault="00064DBD">
            <w:pPr>
              <w:pStyle w:val="aa"/>
            </w:pPr>
            <w:r>
              <w:t>мониторинг выполнения мероприятий Программы обеспечивает Администрация Троицкокраснянского сельсовета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102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Ожидаемые конечные результаты реализации 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- обеспечение потребности населения Троицкокраснянского сельсовета</w:t>
            </w:r>
          </w:p>
          <w:p w:rsidR="00064DBD" w:rsidRDefault="00064DBD">
            <w:pPr>
              <w:pStyle w:val="aa"/>
            </w:pPr>
            <w:r>
              <w:t>в наличии мест захоронения,</w:t>
            </w:r>
          </w:p>
          <w:p w:rsidR="00064DBD" w:rsidRDefault="00064DBD">
            <w:pPr>
              <w:pStyle w:val="aa"/>
            </w:pPr>
            <w: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064DBD" w:rsidRDefault="00064DBD">
            <w:pPr>
              <w:pStyle w:val="aa"/>
            </w:pPr>
            <w:r>
              <w:t>- приведение в надлежащее состояние зеленых насаждений, расположенных на территории кладбищ;</w:t>
            </w:r>
          </w:p>
          <w:p w:rsidR="00064DBD" w:rsidRDefault="00064DBD">
            <w:pPr>
              <w:pStyle w:val="aa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1020"/>
          <w:tblCellSpacing w:w="0" w:type="dxa"/>
        </w:trPr>
        <w:tc>
          <w:tcPr>
            <w:tcW w:w="3975" w:type="dxa"/>
            <w:hideMark/>
          </w:tcPr>
          <w:p w:rsidR="00064DBD" w:rsidRDefault="00064DBD">
            <w:pPr>
              <w:pStyle w:val="aa"/>
            </w:pPr>
            <w:r>
              <w:t>Основные направления</w:t>
            </w:r>
          </w:p>
          <w:p w:rsidR="00064DBD" w:rsidRDefault="00064DBD">
            <w:pPr>
              <w:pStyle w:val="aa"/>
            </w:pPr>
            <w:r>
              <w:t>Программы</w:t>
            </w:r>
          </w:p>
        </w:tc>
        <w:tc>
          <w:tcPr>
            <w:tcW w:w="6240" w:type="dxa"/>
            <w:hideMark/>
          </w:tcPr>
          <w:p w:rsidR="00064DBD" w:rsidRDefault="00064DBD">
            <w:pPr>
              <w:pStyle w:val="aa"/>
            </w:pPr>
            <w:r>
              <w:t>Благоустройство кладбищ на территории поселения.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</w:tbl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  <w:u w:val="single"/>
        </w:rPr>
        <w:t>Описание Программы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  <w:u w:val="single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 Технико-экономическое обоснование Программы.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настоящее время на территории поселения находится 1 муниципальное кладбище. На кладбище осуществляется как захоронение в новые могилы, т.е. начальное предоставление земельных участков для захоронения, так и </w:t>
      </w:r>
      <w:r>
        <w:rPr>
          <w:color w:val="000000"/>
          <w:sz w:val="27"/>
          <w:szCs w:val="27"/>
        </w:rPr>
        <w:lastRenderedPageBreak/>
        <w:t>подзахоронение. Кладбище, расположенное на территории поселения, находятся в границах населенных пунктов, недалеко от существующей жилой застройки, но около кладбища есть пустырь, что позволяет расширять зону захоронений.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поселении закрыли школу, что привело к снижению показателя  переезда людей на постоянное место жительства на территорию поселения. Показатели численности населения с каждым годом убывает,  поэтому нет необходимости для планировки новых мест захоронения.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Основной проблемой места захоронения является мусор. Также на территории места захоронения большое количество сухих зеленых насаждений, которые необходимо ликвидировать.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Сегодня для изменения сложившейся ситуации необходимы самые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Троицкокраснянского сельсовета,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2. Основная цель и задачи Программы, срок ее реализации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целями настоящей Программы являются: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оптимальных условий по посещению и уходом за местами захоронений;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расширение, благоустройство и сохранность мест захоронений умерших граждан.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поставленных в настоящей Программе целей предусматривается решить задачи: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мероприятия по содержанию и расширению мест захоронений;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мероприятия по благоустройству кладбищ;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проведение мероприятий по планированию новых мест для захоронений на действующем кладбище.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настоящей Программы - 2022-2024 годы.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3. Мероприятия Программы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Программы предусмотрены Приложением 1.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 Ресурсное обеспечение Программы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финансирования настоящей Программы составит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рублей, в том числе: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тыс. рублей – в 2022 году – бюджет поселения;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тыс. рублей – в 2023 году – бюджет поселения;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тыс. рублей – в 2024 году – бюджет поселения.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5. Механизм реализации Программы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руководство настоящей Программой остается за Главой поселения.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Программа реализуется Администрацией поселения.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о реализации мероприятий Программы подлежит обнародованию на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официальном сайте Администрации Троицкокраснянского сельсовета в информационно-телекоммуникационной сети «Интернет» в первом квартале года следующего за отчетным.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6. Оценка эффективности реализации Программы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задач, поставленных в настоящей Программе, позволит достичь следующих результатов: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потребности населения Троицкокраснянского сельсовета в наличии мест захоронения,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общее внешнее облагораживание территории, в том числе обрезка старых деревьев.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 Социально-экономические итоги реализации Программы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Успешная реализация настоящей Программы приведет к облагораживанию территорий мест захоронений, расположенных в Троицкокраснянском сельсовете, к более конструктивному планированию новых мест захоронения.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настоящей Программы позволит изменить отношение людей к местам захоронения.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МЕРОПРИЯТИЯ ПРОГРАММЫ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4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0"/>
        <w:gridCol w:w="5294"/>
        <w:gridCol w:w="1698"/>
        <w:gridCol w:w="1269"/>
        <w:gridCol w:w="1710"/>
        <w:gridCol w:w="1105"/>
        <w:gridCol w:w="963"/>
        <w:gridCol w:w="1631"/>
      </w:tblGrid>
      <w:tr w:rsidR="00064DBD" w:rsidTr="00064DBD">
        <w:trPr>
          <w:tblCellSpacing w:w="0" w:type="dxa"/>
        </w:trPr>
        <w:tc>
          <w:tcPr>
            <w:tcW w:w="1140" w:type="dxa"/>
            <w:vMerge w:val="restart"/>
            <w:hideMark/>
          </w:tcPr>
          <w:p w:rsidR="00064DBD" w:rsidRDefault="00064DBD">
            <w:pPr>
              <w:pStyle w:val="aa"/>
              <w:jc w:val="center"/>
            </w:pPr>
            <w:r>
              <w:t>№</w:t>
            </w:r>
          </w:p>
          <w:p w:rsidR="00064DBD" w:rsidRDefault="00064DBD">
            <w:pPr>
              <w:pStyle w:val="aa"/>
              <w:jc w:val="center"/>
            </w:pPr>
            <w:r>
              <w:t>п/п</w:t>
            </w:r>
          </w:p>
        </w:tc>
        <w:tc>
          <w:tcPr>
            <w:tcW w:w="5535" w:type="dxa"/>
            <w:vMerge w:val="restart"/>
            <w:hideMark/>
          </w:tcPr>
          <w:p w:rsidR="00064DBD" w:rsidRDefault="00064DBD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vMerge w:val="restart"/>
            <w:hideMark/>
          </w:tcPr>
          <w:p w:rsidR="00064DBD" w:rsidRDefault="00064DBD">
            <w:pPr>
              <w:pStyle w:val="aa"/>
              <w:jc w:val="center"/>
            </w:pPr>
            <w:r>
              <w:t>Исполнитель</w:t>
            </w:r>
          </w:p>
        </w:tc>
        <w:tc>
          <w:tcPr>
            <w:tcW w:w="1275" w:type="dxa"/>
            <w:vMerge w:val="restart"/>
            <w:hideMark/>
          </w:tcPr>
          <w:p w:rsidR="00064DBD" w:rsidRDefault="00064DBD">
            <w:pPr>
              <w:pStyle w:val="aa"/>
              <w:jc w:val="center"/>
            </w:pPr>
            <w:r>
              <w:t>Срок реализации</w:t>
            </w:r>
          </w:p>
        </w:tc>
        <w:tc>
          <w:tcPr>
            <w:tcW w:w="1410" w:type="dxa"/>
            <w:vMerge w:val="restart"/>
            <w:hideMark/>
          </w:tcPr>
          <w:p w:rsidR="00064DBD" w:rsidRDefault="00064DBD">
            <w:pPr>
              <w:pStyle w:val="aa"/>
              <w:jc w:val="center"/>
            </w:pPr>
            <w:r>
              <w:t>Источник</w:t>
            </w:r>
          </w:p>
          <w:p w:rsidR="00064DBD" w:rsidRDefault="00064DBD">
            <w:pPr>
              <w:pStyle w:val="aa"/>
              <w:jc w:val="center"/>
            </w:pPr>
            <w:r>
              <w:t>финансирования</w:t>
            </w:r>
          </w:p>
        </w:tc>
        <w:tc>
          <w:tcPr>
            <w:tcW w:w="3825" w:type="dxa"/>
            <w:gridSpan w:val="3"/>
            <w:hideMark/>
          </w:tcPr>
          <w:p w:rsidR="00064DBD" w:rsidRDefault="00064DBD">
            <w:pPr>
              <w:pStyle w:val="aa"/>
              <w:jc w:val="center"/>
            </w:pPr>
            <w:r>
              <w:t>Объем</w:t>
            </w:r>
          </w:p>
          <w:p w:rsidR="00064DBD" w:rsidRDefault="00064DBD">
            <w:pPr>
              <w:pStyle w:val="aa"/>
              <w:jc w:val="center"/>
            </w:pPr>
            <w:r>
              <w:t>финансирования</w:t>
            </w:r>
          </w:p>
          <w:p w:rsidR="00064DBD" w:rsidRDefault="00064DBD">
            <w:pPr>
              <w:pStyle w:val="aa"/>
              <w:jc w:val="center"/>
            </w:pPr>
            <w:r>
              <w:t>по годам</w:t>
            </w:r>
          </w:p>
          <w:p w:rsidR="00064DBD" w:rsidRDefault="00064DBD">
            <w:pPr>
              <w:pStyle w:val="aa"/>
              <w:jc w:val="center"/>
            </w:pPr>
            <w:r>
              <w:t>(тыс. руб.)</w:t>
            </w:r>
          </w:p>
        </w:tc>
      </w:tr>
      <w:tr w:rsidR="00064DBD" w:rsidTr="00064DB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64DBD" w:rsidRDefault="00064DBD"/>
        </w:tc>
        <w:tc>
          <w:tcPr>
            <w:tcW w:w="0" w:type="auto"/>
            <w:vMerge/>
            <w:vAlign w:val="center"/>
            <w:hideMark/>
          </w:tcPr>
          <w:p w:rsidR="00064DBD" w:rsidRDefault="00064DBD"/>
        </w:tc>
        <w:tc>
          <w:tcPr>
            <w:tcW w:w="0" w:type="auto"/>
            <w:vMerge/>
            <w:vAlign w:val="center"/>
            <w:hideMark/>
          </w:tcPr>
          <w:p w:rsidR="00064DBD" w:rsidRDefault="00064DBD"/>
        </w:tc>
        <w:tc>
          <w:tcPr>
            <w:tcW w:w="0" w:type="auto"/>
            <w:vMerge/>
            <w:vAlign w:val="center"/>
            <w:hideMark/>
          </w:tcPr>
          <w:p w:rsidR="00064DBD" w:rsidRDefault="00064DBD"/>
        </w:tc>
        <w:tc>
          <w:tcPr>
            <w:tcW w:w="0" w:type="auto"/>
            <w:vMerge/>
            <w:vAlign w:val="center"/>
            <w:hideMark/>
          </w:tcPr>
          <w:p w:rsidR="00064DBD" w:rsidRDefault="00064DBD"/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2022</w:t>
            </w:r>
          </w:p>
        </w:tc>
        <w:tc>
          <w:tcPr>
            <w:tcW w:w="990" w:type="dxa"/>
            <w:hideMark/>
          </w:tcPr>
          <w:p w:rsidR="00064DBD" w:rsidRDefault="00064DBD">
            <w:pPr>
              <w:pStyle w:val="aa"/>
              <w:jc w:val="center"/>
            </w:pPr>
            <w:r>
              <w:t>2023</w:t>
            </w:r>
          </w:p>
        </w:tc>
        <w:tc>
          <w:tcPr>
            <w:tcW w:w="1695" w:type="dxa"/>
            <w:hideMark/>
          </w:tcPr>
          <w:p w:rsidR="00064DBD" w:rsidRDefault="00064DBD">
            <w:pPr>
              <w:pStyle w:val="aa"/>
              <w:jc w:val="center"/>
            </w:pPr>
            <w:r>
              <w:t>2024</w:t>
            </w:r>
          </w:p>
        </w:tc>
      </w:tr>
      <w:tr w:rsidR="00064DBD" w:rsidTr="00064DBD">
        <w:trPr>
          <w:tblCellSpacing w:w="0" w:type="dxa"/>
        </w:trPr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1</w:t>
            </w:r>
          </w:p>
        </w:tc>
        <w:tc>
          <w:tcPr>
            <w:tcW w:w="5535" w:type="dxa"/>
            <w:hideMark/>
          </w:tcPr>
          <w:p w:rsidR="00064DBD" w:rsidRDefault="00064DBD">
            <w:pPr>
              <w:pStyle w:val="aa"/>
              <w:jc w:val="center"/>
            </w:pPr>
            <w:r>
              <w:t>2</w:t>
            </w:r>
          </w:p>
        </w:tc>
        <w:tc>
          <w:tcPr>
            <w:tcW w:w="1560" w:type="dxa"/>
            <w:hideMark/>
          </w:tcPr>
          <w:p w:rsidR="00064DBD" w:rsidRDefault="00064DBD">
            <w:pPr>
              <w:pStyle w:val="aa"/>
              <w:jc w:val="center"/>
            </w:pPr>
            <w:r>
              <w:t>3</w:t>
            </w:r>
          </w:p>
        </w:tc>
        <w:tc>
          <w:tcPr>
            <w:tcW w:w="1275" w:type="dxa"/>
            <w:hideMark/>
          </w:tcPr>
          <w:p w:rsidR="00064DBD" w:rsidRDefault="00064DBD">
            <w:pPr>
              <w:pStyle w:val="aa"/>
              <w:jc w:val="center"/>
            </w:pPr>
            <w:r>
              <w:t>4</w:t>
            </w:r>
          </w:p>
        </w:tc>
        <w:tc>
          <w:tcPr>
            <w:tcW w:w="1410" w:type="dxa"/>
            <w:hideMark/>
          </w:tcPr>
          <w:p w:rsidR="00064DBD" w:rsidRDefault="00064DBD">
            <w:pPr>
              <w:pStyle w:val="aa"/>
              <w:jc w:val="center"/>
            </w:pPr>
            <w:r>
              <w:t>5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6</w:t>
            </w:r>
          </w:p>
        </w:tc>
        <w:tc>
          <w:tcPr>
            <w:tcW w:w="990" w:type="dxa"/>
            <w:hideMark/>
          </w:tcPr>
          <w:p w:rsidR="00064DBD" w:rsidRDefault="00064DBD">
            <w:pPr>
              <w:pStyle w:val="aa"/>
              <w:jc w:val="center"/>
            </w:pPr>
            <w:r>
              <w:t>7</w:t>
            </w:r>
          </w:p>
        </w:tc>
        <w:tc>
          <w:tcPr>
            <w:tcW w:w="1695" w:type="dxa"/>
            <w:hideMark/>
          </w:tcPr>
          <w:p w:rsidR="00064DBD" w:rsidRDefault="00064DBD">
            <w:pPr>
              <w:pStyle w:val="aa"/>
              <w:jc w:val="center"/>
            </w:pPr>
            <w:r>
              <w:t>8</w:t>
            </w:r>
          </w:p>
        </w:tc>
      </w:tr>
      <w:tr w:rsidR="00064DBD" w:rsidTr="00064DBD">
        <w:trPr>
          <w:tblCellSpacing w:w="0" w:type="dxa"/>
        </w:trPr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1.</w:t>
            </w:r>
          </w:p>
        </w:tc>
        <w:tc>
          <w:tcPr>
            <w:tcW w:w="5535" w:type="dxa"/>
            <w:hideMark/>
          </w:tcPr>
          <w:p w:rsidR="00064DBD" w:rsidRDefault="00064DBD">
            <w:pPr>
              <w:pStyle w:val="aa"/>
            </w:pPr>
            <w:r>
              <w:t>Санитарная очистка кладбища, уборка (вывоз) мусора</w:t>
            </w:r>
          </w:p>
        </w:tc>
        <w:tc>
          <w:tcPr>
            <w:tcW w:w="1560" w:type="dxa"/>
            <w:hideMark/>
          </w:tcPr>
          <w:p w:rsidR="00064DBD" w:rsidRDefault="00064DBD">
            <w:pPr>
              <w:pStyle w:val="aa"/>
            </w:pPr>
            <w:r>
              <w:t>Администрация  сельского поселения</w:t>
            </w:r>
          </w:p>
        </w:tc>
        <w:tc>
          <w:tcPr>
            <w:tcW w:w="1275" w:type="dxa"/>
            <w:hideMark/>
          </w:tcPr>
          <w:p w:rsidR="00064DBD" w:rsidRDefault="00064DBD">
            <w:pPr>
              <w:pStyle w:val="aa"/>
            </w:pPr>
            <w:r>
              <w:t>ежегодно</w:t>
            </w:r>
          </w:p>
        </w:tc>
        <w:tc>
          <w:tcPr>
            <w:tcW w:w="1410" w:type="dxa"/>
            <w:hideMark/>
          </w:tcPr>
          <w:p w:rsidR="00064DBD" w:rsidRDefault="00064DBD">
            <w:pPr>
              <w:pStyle w:val="aa"/>
              <w:jc w:val="center"/>
            </w:pPr>
            <w:r>
              <w:t>Бюджет поселения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1,0</w:t>
            </w:r>
          </w:p>
        </w:tc>
        <w:tc>
          <w:tcPr>
            <w:tcW w:w="990" w:type="dxa"/>
            <w:hideMark/>
          </w:tcPr>
          <w:p w:rsidR="00064DBD" w:rsidRDefault="00064DBD">
            <w:pPr>
              <w:pStyle w:val="aa"/>
              <w:jc w:val="center"/>
            </w:pPr>
            <w:r>
              <w:t>1,0</w:t>
            </w:r>
          </w:p>
        </w:tc>
        <w:tc>
          <w:tcPr>
            <w:tcW w:w="1695" w:type="dxa"/>
            <w:hideMark/>
          </w:tcPr>
          <w:p w:rsidR="00064DBD" w:rsidRDefault="00064DBD">
            <w:pPr>
              <w:pStyle w:val="aa"/>
              <w:jc w:val="center"/>
            </w:pPr>
            <w:r>
              <w:t>1,0</w:t>
            </w:r>
          </w:p>
        </w:tc>
      </w:tr>
      <w:tr w:rsidR="00064DBD" w:rsidTr="00064DBD">
        <w:trPr>
          <w:tblCellSpacing w:w="0" w:type="dxa"/>
        </w:trPr>
        <w:tc>
          <w:tcPr>
            <w:tcW w:w="6675" w:type="dxa"/>
            <w:gridSpan w:val="2"/>
            <w:hideMark/>
          </w:tcPr>
          <w:p w:rsidR="00064DBD" w:rsidRDefault="00064DBD">
            <w:pPr>
              <w:pStyle w:val="aa"/>
            </w:pPr>
            <w:r>
              <w:t>ИТОГО</w:t>
            </w:r>
          </w:p>
        </w:tc>
        <w:tc>
          <w:tcPr>
            <w:tcW w:w="156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1275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141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1,0</w:t>
            </w:r>
          </w:p>
        </w:tc>
        <w:tc>
          <w:tcPr>
            <w:tcW w:w="990" w:type="dxa"/>
            <w:hideMark/>
          </w:tcPr>
          <w:p w:rsidR="00064DBD" w:rsidRDefault="00064DBD">
            <w:pPr>
              <w:pStyle w:val="aa"/>
              <w:jc w:val="center"/>
            </w:pPr>
            <w:r>
              <w:t>1,0</w:t>
            </w:r>
          </w:p>
        </w:tc>
        <w:tc>
          <w:tcPr>
            <w:tcW w:w="1695" w:type="dxa"/>
            <w:hideMark/>
          </w:tcPr>
          <w:p w:rsidR="00064DBD" w:rsidRDefault="00064DBD">
            <w:pPr>
              <w:pStyle w:val="aa"/>
              <w:jc w:val="center"/>
            </w:pPr>
            <w:r>
              <w:t>1,0</w:t>
            </w:r>
          </w:p>
        </w:tc>
      </w:tr>
    </w:tbl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2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(форма отчета)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УТВЕРЖДАЮ: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«___» __________________ 20 _____г.</w:t>
      </w:r>
    </w:p>
    <w:p w:rsidR="00064DBD" w:rsidRDefault="00064DBD" w:rsidP="00064DBD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Отчет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 реализации мероприятий долгосрочной муниципальной программы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«Организация и содержание мест захоронения в Троицкокраснянском сельсовете» на 2019-2021 годы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За ____________ год</w:t>
      </w:r>
    </w:p>
    <w:p w:rsidR="00064DBD" w:rsidRDefault="00064DBD" w:rsidP="00064DBD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"/>
        <w:gridCol w:w="1606"/>
        <w:gridCol w:w="1188"/>
        <w:gridCol w:w="1096"/>
        <w:gridCol w:w="1362"/>
        <w:gridCol w:w="1187"/>
        <w:gridCol w:w="1096"/>
        <w:gridCol w:w="1303"/>
        <w:gridCol w:w="5"/>
      </w:tblGrid>
      <w:tr w:rsidR="00064DBD" w:rsidTr="00064DBD">
        <w:trPr>
          <w:trHeight w:val="315"/>
          <w:tblCellSpacing w:w="0" w:type="dxa"/>
        </w:trPr>
        <w:tc>
          <w:tcPr>
            <w:tcW w:w="1005" w:type="dxa"/>
            <w:hideMark/>
          </w:tcPr>
          <w:p w:rsidR="00064DBD" w:rsidRDefault="00064DBD">
            <w:pPr>
              <w:pStyle w:val="aa"/>
              <w:jc w:val="center"/>
            </w:pPr>
            <w:r>
              <w:t>№</w:t>
            </w:r>
          </w:p>
          <w:p w:rsidR="00064DBD" w:rsidRDefault="00064DBD">
            <w:pPr>
              <w:pStyle w:val="aa"/>
              <w:jc w:val="center"/>
            </w:pPr>
            <w:r>
              <w:t>п/п</w:t>
            </w:r>
          </w:p>
        </w:tc>
        <w:tc>
          <w:tcPr>
            <w:tcW w:w="2340" w:type="dxa"/>
            <w:hideMark/>
          </w:tcPr>
          <w:p w:rsidR="00064DBD" w:rsidRDefault="00064DBD">
            <w:pPr>
              <w:pStyle w:val="aa"/>
              <w:jc w:val="center"/>
            </w:pPr>
            <w:r>
              <w:t>Запланированные мероприятия</w:t>
            </w:r>
          </w:p>
        </w:tc>
        <w:tc>
          <w:tcPr>
            <w:tcW w:w="2475" w:type="dxa"/>
            <w:hideMark/>
          </w:tcPr>
          <w:p w:rsidR="00064DBD" w:rsidRDefault="00064DBD">
            <w:pPr>
              <w:pStyle w:val="aa"/>
              <w:jc w:val="center"/>
            </w:pPr>
            <w:r>
              <w:t>Выполнено мероприятий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% выполнения</w:t>
            </w:r>
          </w:p>
        </w:tc>
        <w:tc>
          <w:tcPr>
            <w:tcW w:w="2415" w:type="dxa"/>
            <w:hideMark/>
          </w:tcPr>
          <w:p w:rsidR="00064DBD" w:rsidRDefault="00064DBD">
            <w:pPr>
              <w:pStyle w:val="aa"/>
              <w:jc w:val="center"/>
            </w:pPr>
            <w:r>
              <w:t>Запланировано средств из бюджета на выполнение мероприятия</w:t>
            </w:r>
          </w:p>
        </w:tc>
        <w:tc>
          <w:tcPr>
            <w:tcW w:w="2130" w:type="dxa"/>
            <w:hideMark/>
          </w:tcPr>
          <w:p w:rsidR="00064DBD" w:rsidRDefault="00064DBD">
            <w:pPr>
              <w:pStyle w:val="aa"/>
              <w:jc w:val="center"/>
            </w:pPr>
            <w:r>
              <w:t>Потрачено средств из бюджета на выполнение мероприятий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% выполнения</w:t>
            </w:r>
          </w:p>
        </w:tc>
        <w:tc>
          <w:tcPr>
            <w:tcW w:w="2430" w:type="dxa"/>
            <w:hideMark/>
          </w:tcPr>
          <w:p w:rsidR="00064DBD" w:rsidRDefault="00064DBD">
            <w:pPr>
              <w:pStyle w:val="aa"/>
              <w:jc w:val="center"/>
            </w:pPr>
            <w:r>
              <w:t>Основания невыполнения мероприятий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rHeight w:val="315"/>
          <w:tblCellSpacing w:w="0" w:type="dxa"/>
        </w:trPr>
        <w:tc>
          <w:tcPr>
            <w:tcW w:w="1005" w:type="dxa"/>
            <w:hideMark/>
          </w:tcPr>
          <w:p w:rsidR="00064DBD" w:rsidRDefault="00064DBD">
            <w:pPr>
              <w:pStyle w:val="aa"/>
              <w:jc w:val="center"/>
            </w:pPr>
            <w:r>
              <w:t>1.</w:t>
            </w:r>
          </w:p>
        </w:tc>
        <w:tc>
          <w:tcPr>
            <w:tcW w:w="234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2475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2415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213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243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064DBD" w:rsidRDefault="00064DBD"/>
        </w:tc>
      </w:tr>
      <w:tr w:rsidR="00064DBD" w:rsidTr="00064DBD">
        <w:trPr>
          <w:tblCellSpacing w:w="0" w:type="dxa"/>
        </w:trPr>
        <w:tc>
          <w:tcPr>
            <w:tcW w:w="1005" w:type="dxa"/>
            <w:hideMark/>
          </w:tcPr>
          <w:p w:rsidR="00064DBD" w:rsidRDefault="00064DBD">
            <w:pPr>
              <w:pStyle w:val="aa"/>
              <w:jc w:val="center"/>
            </w:pPr>
            <w:r>
              <w:t>2.</w:t>
            </w:r>
          </w:p>
        </w:tc>
        <w:tc>
          <w:tcPr>
            <w:tcW w:w="234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2475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1140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2415" w:type="dxa"/>
            <w:hideMark/>
          </w:tcPr>
          <w:p w:rsidR="00064DBD" w:rsidRDefault="00064DBD">
            <w:pPr>
              <w:pStyle w:val="aa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64DBD" w:rsidRDefault="00064D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4DBD" w:rsidRDefault="00064D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4DBD" w:rsidRDefault="00064D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4DBD" w:rsidRDefault="00064DBD">
            <w:pPr>
              <w:rPr>
                <w:sz w:val="20"/>
                <w:szCs w:val="20"/>
              </w:rPr>
            </w:pPr>
          </w:p>
        </w:tc>
      </w:tr>
    </w:tbl>
    <w:p w:rsidR="00BB6700" w:rsidRPr="00064DBD" w:rsidRDefault="00BB6700" w:rsidP="00064DBD"/>
    <w:sectPr w:rsidR="00BB6700" w:rsidRPr="00064DB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20810</TotalTime>
  <Pages>9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1178</cp:revision>
  <cp:lastPrinted>2019-03-04T06:14:00Z</cp:lastPrinted>
  <dcterms:created xsi:type="dcterms:W3CDTF">2019-02-20T10:58:00Z</dcterms:created>
  <dcterms:modified xsi:type="dcterms:W3CDTF">2025-04-25T14:04:00Z</dcterms:modified>
</cp:coreProperties>
</file>