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CC41EB" w:rsidP="00CD6190">
      <w:pPr>
        <w:spacing w:after="0" w:line="240" w:lineRule="auto"/>
        <w:jc w:val="center"/>
        <w:rPr>
          <w:rFonts w:ascii="Arial" w:hAnsi="Arial" w:cs="Arial"/>
          <w:b/>
          <w:sz w:val="32"/>
          <w:szCs w:val="32"/>
        </w:rPr>
      </w:pPr>
      <w:r>
        <w:rPr>
          <w:rFonts w:ascii="Arial" w:hAnsi="Arial" w:cs="Arial"/>
          <w:b/>
          <w:sz w:val="32"/>
          <w:szCs w:val="32"/>
        </w:rPr>
        <w:t>ТРОИЦКОКРАСНЯНСКОГО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CC41EB">
        <w:rPr>
          <w:rFonts w:ascii="Arial" w:hAnsi="Arial" w:cs="Arial"/>
          <w:b/>
          <w:sz w:val="32"/>
          <w:szCs w:val="32"/>
        </w:rPr>
        <w:t>т 26 марта 2025 г. № 22</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D41E34" w:rsidP="00AD4153">
      <w:pPr>
        <w:jc w:val="both"/>
        <w:rPr>
          <w:rFonts w:ascii="Arial" w:hAnsi="Arial" w:cs="Arial"/>
          <w:b/>
          <w:sz w:val="24"/>
          <w:szCs w:val="24"/>
        </w:rPr>
      </w:pPr>
      <w:r w:rsidRPr="008F09A5">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8F09A5">
        <w:rPr>
          <w:rFonts w:ascii="Arial" w:hAnsi="Arial" w:cs="Arial"/>
          <w:color w:val="000000" w:themeColor="text1"/>
          <w:sz w:val="24"/>
          <w:szCs w:val="24"/>
        </w:rPr>
        <w:t>Постановления Правительства РФ от 05.02.2024г. № 124 "</w:t>
      </w:r>
      <w:r w:rsidRPr="008F09A5">
        <w:rPr>
          <w:rFonts w:ascii="Arial" w:hAnsi="Arial" w:cs="Arial"/>
          <w:color w:val="22272F"/>
          <w:sz w:val="33"/>
          <w:szCs w:val="33"/>
        </w:rPr>
        <w:t xml:space="preserve"> "</w:t>
      </w:r>
      <w:r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Pr="008F09A5">
        <w:rPr>
          <w:rFonts w:ascii="Arial" w:hAnsi="Arial" w:cs="Arial"/>
          <w:color w:val="000000" w:themeColor="text1"/>
          <w:sz w:val="24"/>
          <w:szCs w:val="24"/>
        </w:rPr>
        <w:t>",</w:t>
      </w:r>
      <w:r w:rsidRPr="008F09A5">
        <w:rPr>
          <w:rFonts w:ascii="Arial" w:hAnsi="Arial" w:cs="Arial"/>
          <w:sz w:val="24"/>
          <w:szCs w:val="24"/>
        </w:rPr>
        <w:t xml:space="preserve"> Устава муниципального образования «</w:t>
      </w:r>
      <w:r w:rsidR="00CC41EB">
        <w:rPr>
          <w:rFonts w:ascii="Arial" w:hAnsi="Arial" w:cs="Arial"/>
          <w:sz w:val="24"/>
          <w:szCs w:val="24"/>
        </w:rPr>
        <w:t>Троицкокраснянское</w:t>
      </w:r>
      <w:r w:rsidRPr="008F09A5">
        <w:rPr>
          <w:rFonts w:ascii="Arial" w:hAnsi="Arial" w:cs="Arial"/>
          <w:sz w:val="24"/>
          <w:szCs w:val="24"/>
        </w:rPr>
        <w:t xml:space="preserve"> сельское поселение» Щигровского муниципального района Курской области, Администрация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w:t>
      </w:r>
      <w:r w:rsidR="00BC3656" w:rsidRPr="008F09A5">
        <w:rPr>
          <w:rFonts w:ascii="Arial" w:hAnsi="Arial" w:cs="Arial"/>
          <w:sz w:val="24"/>
          <w:szCs w:val="24"/>
        </w:rPr>
        <w:t>ого</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C57F0B" w:rsidRPr="008F09A5">
        <w:rPr>
          <w:rFonts w:ascii="Arial" w:hAnsi="Arial" w:cs="Arial"/>
          <w:sz w:val="24"/>
          <w:szCs w:val="24"/>
        </w:rPr>
        <w:t>от 24.11.2020 года № 8</w:t>
      </w:r>
      <w:r w:rsidR="00CC41EB">
        <w:rPr>
          <w:rFonts w:ascii="Arial" w:hAnsi="Arial" w:cs="Arial"/>
          <w:sz w:val="24"/>
          <w:szCs w:val="24"/>
        </w:rPr>
        <w:t>7</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CC41EB">
        <w:rPr>
          <w:rFonts w:ascii="Arial" w:hAnsi="Arial" w:cs="Arial"/>
          <w:sz w:val="24"/>
          <w:szCs w:val="24"/>
        </w:rPr>
        <w:t xml:space="preserve"> </w:t>
      </w:r>
      <w:r w:rsidR="00C57F0B" w:rsidRPr="00CC41EB">
        <w:rPr>
          <w:rFonts w:ascii="Arial" w:hAnsi="Arial" w:cs="Arial"/>
          <w:sz w:val="32"/>
          <w:szCs w:val="32"/>
        </w:rPr>
        <w:t>«</w:t>
      </w:r>
      <w:r w:rsidR="00AD4153" w:rsidRPr="008F09A5">
        <w:rPr>
          <w:rFonts w:ascii="Arial" w:hAnsi="Arial" w:cs="Arial"/>
          <w:sz w:val="24"/>
          <w:szCs w:val="24"/>
        </w:rPr>
        <w:t>Присвоение адресов объектам адресации, изменение, аннулирование адресов»</w:t>
      </w:r>
      <w:r w:rsidR="00C57F0B" w:rsidRPr="008F09A5">
        <w:rPr>
          <w:rFonts w:ascii="Arial" w:hAnsi="Arial" w:cs="Arial"/>
          <w:sz w:val="24"/>
          <w:szCs w:val="24"/>
        </w:rPr>
        <w:t>,</w:t>
      </w:r>
    </w:p>
    <w:p w:rsidR="00830C2F" w:rsidRPr="008F09A5" w:rsidRDefault="00CC41EB" w:rsidP="00AD4153">
      <w:pPr>
        <w:jc w:val="both"/>
        <w:rPr>
          <w:rFonts w:ascii="Arial" w:hAnsi="Arial" w:cs="Arial"/>
          <w:sz w:val="24"/>
          <w:szCs w:val="24"/>
        </w:rPr>
      </w:pPr>
      <w:r>
        <w:rPr>
          <w:rFonts w:ascii="Arial" w:hAnsi="Arial" w:cs="Arial"/>
          <w:sz w:val="24"/>
          <w:szCs w:val="24"/>
        </w:rPr>
        <w:t>-от 25.03.2022 года № 35</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CC41EB">
        <w:rPr>
          <w:rFonts w:ascii="Arial" w:hAnsi="Arial" w:cs="Arial"/>
          <w:sz w:val="32"/>
          <w:szCs w:val="32"/>
        </w:rPr>
        <w:t>«</w:t>
      </w:r>
      <w:r w:rsidR="00C57F0B" w:rsidRPr="008F09A5">
        <w:rPr>
          <w:rFonts w:ascii="Arial" w:hAnsi="Arial" w:cs="Arial"/>
          <w:sz w:val="24"/>
          <w:szCs w:val="24"/>
        </w:rPr>
        <w:t>Присвоение адресов объектам адресации, изменение, аннулирование адресов»</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Контроль за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r w:rsidR="00CC41EB">
        <w:rPr>
          <w:rFonts w:ascii="Arial" w:eastAsia="Times New Roman" w:hAnsi="Arial" w:cs="Arial"/>
          <w:sz w:val="24"/>
          <w:szCs w:val="24"/>
          <w:lang w:eastAsia="ru-RU"/>
        </w:rPr>
        <w:t>Троицкокраснянского</w:t>
      </w:r>
      <w:r w:rsidRPr="008F09A5">
        <w:rPr>
          <w:rFonts w:ascii="Arial" w:eastAsia="Times New Roman" w:hAnsi="Arial" w:cs="Arial"/>
          <w:sz w:val="24"/>
          <w:szCs w:val="24"/>
          <w:lang w:eastAsia="ru-RU"/>
        </w:rPr>
        <w:t xml:space="preserve"> сельсовета                                   </w:t>
      </w:r>
      <w:r w:rsidR="00CC41EB">
        <w:rPr>
          <w:rFonts w:ascii="Arial" w:eastAsia="Times New Roman" w:hAnsi="Arial" w:cs="Arial"/>
          <w:sz w:val="24"/>
          <w:szCs w:val="24"/>
          <w:lang w:eastAsia="ru-RU"/>
        </w:rPr>
        <w:t>М.Г. Хархардин</w:t>
      </w:r>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CC41EB" w:rsidP="00350C1D">
      <w:pPr>
        <w:pStyle w:val="ConsPlusNormal"/>
        <w:jc w:val="right"/>
        <w:rPr>
          <w:rFonts w:ascii="Arial" w:hAnsi="Arial" w:cs="Arial"/>
          <w:sz w:val="24"/>
          <w:szCs w:val="24"/>
        </w:rPr>
      </w:pPr>
      <w:r>
        <w:rPr>
          <w:rFonts w:ascii="Arial" w:hAnsi="Arial" w:cs="Arial"/>
          <w:sz w:val="24"/>
          <w:szCs w:val="24"/>
        </w:rPr>
        <w:t>Троицкокраснянского</w:t>
      </w:r>
      <w:r w:rsidR="00190862"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Щигровского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p>
    <w:p w:rsidR="00190862" w:rsidRPr="008F09A5" w:rsidRDefault="00CC41EB" w:rsidP="00350C1D">
      <w:pPr>
        <w:pStyle w:val="ConsPlusNormal"/>
        <w:jc w:val="right"/>
        <w:rPr>
          <w:rFonts w:ascii="Arial" w:hAnsi="Arial" w:cs="Arial"/>
          <w:sz w:val="24"/>
          <w:szCs w:val="24"/>
        </w:rPr>
      </w:pPr>
      <w:r>
        <w:rPr>
          <w:rFonts w:ascii="Arial" w:hAnsi="Arial" w:cs="Arial"/>
          <w:sz w:val="24"/>
          <w:szCs w:val="24"/>
        </w:rPr>
        <w:t>От 26.03.25г. № 22</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r w:rsidR="00CC41EB">
        <w:rPr>
          <w:rFonts w:ascii="Arial" w:hAnsi="Arial" w:cs="Arial"/>
          <w:b/>
          <w:sz w:val="32"/>
          <w:szCs w:val="32"/>
        </w:rPr>
        <w:t>Троицкокраснянского</w:t>
      </w:r>
      <w:r w:rsidRPr="008F09A5">
        <w:rPr>
          <w:rFonts w:ascii="Arial" w:hAnsi="Arial" w:cs="Arial"/>
          <w:b/>
          <w:sz w:val="32"/>
          <w:szCs w:val="32"/>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Административный  регламент  предоставления Администрацией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lastRenderedPageBreak/>
        <w:t>б)</w:t>
      </w:r>
      <w:r w:rsidRPr="008F09A5">
        <w:rPr>
          <w:rFonts w:ascii="Arial" w:hAnsi="Arial" w:cs="Arial"/>
          <w:color w:val="FF0000"/>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круге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сроке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результате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8F09A5">
        <w:rPr>
          <w:rFonts w:ascii="Arial" w:hAnsi="Arial" w:cs="Arial"/>
          <w:sz w:val="24"/>
          <w:szCs w:val="24"/>
        </w:rPr>
        <w:lastRenderedPageBreak/>
        <w:t>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C41EB">
        <w:rPr>
          <w:rFonts w:ascii="Arial" w:hAnsi="Arial" w:cs="Arial"/>
          <w:sz w:val="24"/>
          <w:szCs w:val="24"/>
        </w:rPr>
        <w:t>Троицкокраснянского</w:t>
      </w:r>
      <w:r w:rsidRPr="008F09A5">
        <w:rPr>
          <w:rFonts w:ascii="Arial" w:hAnsi="Arial" w:cs="Arial"/>
          <w:sz w:val="24"/>
          <w:szCs w:val="24"/>
        </w:rPr>
        <w:t xml:space="preserve"> сельсо</w:t>
      </w:r>
      <w:r w:rsidR="0030497F" w:rsidRPr="008F09A5">
        <w:rPr>
          <w:rFonts w:ascii="Arial" w:hAnsi="Arial" w:cs="Arial"/>
          <w:sz w:val="24"/>
          <w:szCs w:val="24"/>
        </w:rPr>
        <w:t xml:space="preserve">вета Щигровского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При предоставлении Услуги Администрация взаимодействует с:</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lastRenderedPageBreak/>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7"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190862" w:rsidP="009B5937">
      <w:pPr>
        <w:pStyle w:val="ConsPlusNormal"/>
        <w:jc w:val="both"/>
        <w:rPr>
          <w:rFonts w:ascii="Arial" w:hAnsi="Arial" w:cs="Arial"/>
          <w:sz w:val="24"/>
          <w:szCs w:val="24"/>
        </w:rPr>
      </w:pPr>
      <w:r w:rsidRPr="008F09A5">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0" w:name="l39"/>
      <w:bookmarkStart w:id="1" w:name="l40"/>
      <w:bookmarkStart w:id="2" w:name="l41"/>
      <w:bookmarkEnd w:id="0"/>
      <w:bookmarkEnd w:id="1"/>
      <w:bookmarkEnd w:id="2"/>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r w:rsidRPr="008F09A5">
        <w:rPr>
          <w:rFonts w:ascii="Arial" w:eastAsia="Times New Roman" w:hAnsi="Arial" w:cs="Arial"/>
          <w:color w:val="FF0000"/>
          <w:sz w:val="24"/>
          <w:szCs w:val="24"/>
          <w:lang w:eastAsia="ru-RU"/>
        </w:rPr>
        <w:t>в случае подачи заявления на бумажном носителе - в срок не более 10 рабочих дней со дня поступления заявления;</w:t>
      </w:r>
      <w:bookmarkStart w:id="3" w:name="l4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r w:rsidRPr="008F09A5">
        <w:rPr>
          <w:rFonts w:ascii="Arial" w:eastAsia="Times New Roman" w:hAnsi="Arial" w:cs="Arial"/>
          <w:color w:val="FF0000"/>
          <w:sz w:val="24"/>
          <w:szCs w:val="24"/>
          <w:lang w:eastAsia="ru-RU"/>
        </w:rPr>
        <w:t>в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 xml:space="preserve">Оснований для приостановления предоставления муниципальной услуги </w:t>
      </w:r>
      <w:r w:rsidRPr="008F09A5">
        <w:rPr>
          <w:rFonts w:ascii="Arial" w:hAnsi="Arial" w:cs="Arial"/>
          <w:color w:val="FF0000"/>
          <w:sz w:val="24"/>
          <w:szCs w:val="24"/>
        </w:rPr>
        <w:lastRenderedPageBreak/>
        <w:t>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 xml:space="preserve">Градостроительный кодексРоссийской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w:t>
      </w:r>
      <w:r w:rsidRPr="008F09A5">
        <w:rPr>
          <w:rFonts w:ascii="Arial" w:hAnsi="Arial" w:cs="Arial"/>
          <w:color w:val="FF0000"/>
          <w:sz w:val="24"/>
          <w:szCs w:val="24"/>
        </w:rPr>
        <w:lastRenderedPageBreak/>
        <w:t>портала федеральной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9"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1"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2"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з) выписка из Единого государственного реестра недвижимости об объекте недвижимости, который снят с учета (в случае аннулирования адреса объекта </w:t>
      </w:r>
      <w:r w:rsidRPr="008F09A5">
        <w:rPr>
          <w:rFonts w:ascii="Arial" w:hAnsi="Arial" w:cs="Arial"/>
          <w:sz w:val="24"/>
          <w:szCs w:val="24"/>
        </w:rPr>
        <w:lastRenderedPageBreak/>
        <w:t>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отказав приеме документов, необходимых для предоставлениямуниципальной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w:t>
      </w:r>
      <w:r w:rsidRPr="008F09A5">
        <w:rPr>
          <w:rFonts w:ascii="Arial" w:hAnsi="Arial" w:cs="Arial"/>
          <w:sz w:val="24"/>
          <w:szCs w:val="24"/>
        </w:rPr>
        <w:lastRenderedPageBreak/>
        <w:t>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сурдопереводчика и тифлосурдопереводчика;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3.2.1. Основанием для  начала административной процедуры является непредставление заявителем по собственной инициативе документов, </w:t>
      </w:r>
      <w:r w:rsidRPr="008F09A5">
        <w:rPr>
          <w:rFonts w:ascii="Arial" w:hAnsi="Arial" w:cs="Arial"/>
          <w:sz w:val="24"/>
          <w:szCs w:val="24"/>
        </w:rPr>
        <w:lastRenderedPageBreak/>
        <w:t>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w:t>
      </w:r>
      <w:r w:rsidRPr="008F09A5">
        <w:rPr>
          <w:rFonts w:ascii="Arial" w:hAnsi="Arial" w:cs="Arial"/>
          <w:sz w:val="24"/>
          <w:szCs w:val="24"/>
        </w:rPr>
        <w:lastRenderedPageBreak/>
        <w:t>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r w:rsidR="00CC41EB">
        <w:rPr>
          <w:rFonts w:ascii="Arial" w:hAnsi="Arial" w:cs="Arial"/>
          <w:sz w:val="24"/>
          <w:szCs w:val="24"/>
        </w:rPr>
        <w:t>Троицкокраснянского</w:t>
      </w:r>
      <w:r w:rsidRPr="008F09A5">
        <w:rPr>
          <w:rFonts w:ascii="Arial" w:hAnsi="Arial" w:cs="Arial"/>
          <w:sz w:val="24"/>
          <w:szCs w:val="24"/>
        </w:rPr>
        <w:t xml:space="preserve">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4" w:name="l48"/>
      <w:bookmarkEnd w:id="4"/>
      <w:r w:rsidR="00A700AB" w:rsidRPr="008F09A5">
        <w:rPr>
          <w:rFonts w:ascii="Arial" w:hAnsi="Arial" w:cs="Arial"/>
          <w:color w:val="FF0000"/>
        </w:rPr>
        <w:t>.</w:t>
      </w:r>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ab/>
        <w:t xml:space="preserve">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3.4.5. Критерием принятия решения  является наличие  подписанного  и  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предоставлениягосударственных и муниципальных услуг</w:t>
      </w:r>
      <w:bookmarkStart w:id="5" w:name="_GoBack"/>
      <w:bookmarkEnd w:id="5"/>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Предоставление муниципальной услуги  в многофункциональных центрах </w:t>
      </w:r>
      <w:r w:rsidR="00190862" w:rsidRPr="008F09A5">
        <w:rPr>
          <w:rFonts w:ascii="Arial" w:hAnsi="Arial" w:cs="Arial"/>
          <w:sz w:val="24"/>
          <w:szCs w:val="24"/>
        </w:rPr>
        <w:lastRenderedPageBreak/>
        <w:t xml:space="preserve">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 случае получения результата в МФЦ – отметка заявителя о получении </w:t>
      </w:r>
      <w:r w:rsidRPr="008F09A5">
        <w:rPr>
          <w:rFonts w:ascii="Arial" w:hAnsi="Arial" w:cs="Arial"/>
          <w:sz w:val="24"/>
          <w:szCs w:val="24"/>
        </w:rPr>
        <w:lastRenderedPageBreak/>
        <w:t>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3"/>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31A" w:rsidRDefault="00DF431A" w:rsidP="00D520AC">
      <w:pPr>
        <w:spacing w:after="0" w:line="240" w:lineRule="auto"/>
      </w:pPr>
      <w:r>
        <w:separator/>
      </w:r>
    </w:p>
  </w:endnote>
  <w:endnote w:type="continuationSeparator" w:id="1">
    <w:p w:rsidR="00DF431A" w:rsidRDefault="00DF431A" w:rsidP="00D5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31A" w:rsidRDefault="00DF431A" w:rsidP="00D520AC">
      <w:pPr>
        <w:spacing w:after="0" w:line="240" w:lineRule="auto"/>
      </w:pPr>
      <w:r>
        <w:separator/>
      </w:r>
    </w:p>
  </w:footnote>
  <w:footnote w:type="continuationSeparator" w:id="1">
    <w:p w:rsidR="00DF431A" w:rsidRDefault="00DF431A" w:rsidP="00D52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13"/>
    </w:sdtPr>
    <w:sdtContent>
      <w:p w:rsidR="007660B6" w:rsidRDefault="00D9208B">
        <w:pPr>
          <w:pStyle w:val="a3"/>
          <w:jc w:val="center"/>
        </w:pPr>
        <w:r>
          <w:fldChar w:fldCharType="begin"/>
        </w:r>
        <w:r w:rsidR="007660B6">
          <w:instrText xml:space="preserve"> PAGE   \* MERGEFORMAT </w:instrText>
        </w:r>
        <w:r>
          <w:fldChar w:fldCharType="separate"/>
        </w:r>
        <w:r w:rsidR="00CC41EB">
          <w:rPr>
            <w:noProof/>
          </w:rPr>
          <w:t>2</w:t>
        </w:r>
        <w:r>
          <w:rPr>
            <w:noProof/>
          </w:rPr>
          <w:fldChar w:fldCharType="end"/>
        </w:r>
      </w:p>
    </w:sdtContent>
  </w:sdt>
  <w:p w:rsidR="007660B6" w:rsidRDefault="007660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83CD7"/>
    <w:rsid w:val="00BB0F46"/>
    <w:rsid w:val="00BC3602"/>
    <w:rsid w:val="00BC3656"/>
    <w:rsid w:val="00BE3FDC"/>
    <w:rsid w:val="00C57DE9"/>
    <w:rsid w:val="00C57F0B"/>
    <w:rsid w:val="00C66D47"/>
    <w:rsid w:val="00C96977"/>
    <w:rsid w:val="00CC1B16"/>
    <w:rsid w:val="00CC41EB"/>
    <w:rsid w:val="00CD6190"/>
    <w:rsid w:val="00CF21FC"/>
    <w:rsid w:val="00D41E34"/>
    <w:rsid w:val="00D520AC"/>
    <w:rsid w:val="00D620C3"/>
    <w:rsid w:val="00D9208B"/>
    <w:rsid w:val="00DB580C"/>
    <w:rsid w:val="00DF31E1"/>
    <w:rsid w:val="00DF431A"/>
    <w:rsid w:val="00E37358"/>
    <w:rsid w:val="00E56557"/>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7132A102B0E442457E2FBBE8907790799C29BE0D022CAC83E239E2E980194CF928DE7BE260DD17DF79AF8FA8C877E2FBAB709hCw6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8C94BD3BCB6F6D1411AF19C2503BD462353BEE916BB41905EB786DD829D5E9C8F8BEFD7D335CB2333BBFAC261a0NAI" TargetMode="External"/><Relationship Id="rId12" Type="http://schemas.openxmlformats.org/officeDocument/2006/relationships/hyperlink" Target="consultantplus://offline/ref=8773401006FB6813A9880685D75C2FEC50565706BA439F6730283175EED47A2FA47C5E4FB1EBA7C73B57B428D56A72646D18229897I1l0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65706BA439F6730283175EED47A2FA47C5E4DB6EDAF906C18B574933C61666818209E8B10BBF4I1l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773401006FB6813A9880685D75C2FEC50565107BD469F6730283175EED47A2FA47C5E48B0E8A7C73B57B428D56A72646D18229897I1l0M" TargetMode="External"/><Relationship Id="rId4" Type="http://schemas.openxmlformats.org/officeDocument/2006/relationships/webSettings" Target="webSettings.xml"/><Relationship Id="rId9" Type="http://schemas.openxmlformats.org/officeDocument/2006/relationships/hyperlink" Target="consultantplus://offline/ref=8773401006FB6813A9880685D75C2FEC50575505B8429F6730283175EED47A2FA47C5E4FBDB9FDD73F1EE326C9696A7A690622I9l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20</Pages>
  <Words>8050</Words>
  <Characters>45889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оон</cp:lastModifiedBy>
  <cp:revision>15</cp:revision>
  <cp:lastPrinted>2020-11-23T07:20:00Z</cp:lastPrinted>
  <dcterms:created xsi:type="dcterms:W3CDTF">2020-11-17T12:19:00Z</dcterms:created>
  <dcterms:modified xsi:type="dcterms:W3CDTF">2025-03-26T04:29:00Z</dcterms:modified>
</cp:coreProperties>
</file>