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C7" w:rsidRDefault="003614C7" w:rsidP="003614C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4C7" w:rsidRPr="00DA52C1" w:rsidRDefault="003614C7" w:rsidP="00DA52C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A52C1">
        <w:rPr>
          <w:rFonts w:ascii="Times New Roman" w:hAnsi="Times New Roman"/>
          <w:b/>
          <w:sz w:val="40"/>
          <w:szCs w:val="40"/>
        </w:rPr>
        <w:t>АДМИНИСТРАЦИЯ</w:t>
      </w:r>
    </w:p>
    <w:p w:rsidR="003614C7" w:rsidRPr="00DA52C1" w:rsidRDefault="00DA52C1" w:rsidP="00DA52C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A52C1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3614C7" w:rsidRPr="00DA52C1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3614C7" w:rsidRPr="00DA52C1" w:rsidRDefault="003614C7" w:rsidP="00DA52C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DA52C1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614C7" w:rsidRPr="00DA52C1" w:rsidRDefault="003614C7" w:rsidP="00DA52C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DA52C1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DA52C1">
        <w:rPr>
          <w:rFonts w:ascii="Times New Roman" w:hAnsi="Times New Roman"/>
          <w:b/>
          <w:sz w:val="40"/>
          <w:szCs w:val="40"/>
        </w:rPr>
        <w:t xml:space="preserve"> О С Т А Н О В Л Е Н ИЕ</w:t>
      </w:r>
    </w:p>
    <w:p w:rsidR="003614C7" w:rsidRDefault="003614C7" w:rsidP="003614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A52C1">
        <w:rPr>
          <w:rFonts w:ascii="Times New Roman" w:hAnsi="Times New Roman"/>
          <w:sz w:val="28"/>
          <w:szCs w:val="28"/>
        </w:rPr>
        <w:t xml:space="preserve">  «25» июля  2022 г.         № 53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r w:rsidR="00DA52C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сельсовета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  района Курской области</w:t>
      </w:r>
    </w:p>
    <w:p w:rsidR="003614C7" w:rsidRDefault="003614C7" w:rsidP="003614C7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b w:val="0"/>
        </w:rPr>
      </w:pPr>
      <w:proofErr w:type="gramStart"/>
      <w:r>
        <w:rPr>
          <w:b w:val="0"/>
          <w:color w:val="242424"/>
        </w:rPr>
        <w:t>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</w:t>
      </w:r>
      <w:r>
        <w:rPr>
          <w:b w:val="0"/>
          <w:color w:val="111111"/>
        </w:rPr>
        <w:t>О внесении изменений в общие требования к оценке налоговых расходов субъектов Российской Федерации и муниципальных образований»</w:t>
      </w:r>
      <w:r>
        <w:rPr>
          <w:color w:val="242424"/>
        </w:rPr>
        <w:t xml:space="preserve">, </w:t>
      </w:r>
      <w:r>
        <w:rPr>
          <w:b w:val="0"/>
        </w:rPr>
        <w:t xml:space="preserve">администрация </w:t>
      </w:r>
      <w:r w:rsidR="00DA52C1">
        <w:rPr>
          <w:b w:val="0"/>
        </w:rPr>
        <w:t>Троицкокраснянского</w:t>
      </w:r>
      <w:r>
        <w:rPr>
          <w:b w:val="0"/>
        </w:rPr>
        <w:t xml:space="preserve"> сельсовета  Щигровского  района Курской области</w:t>
      </w:r>
      <w:proofErr w:type="gramEnd"/>
    </w:p>
    <w:p w:rsidR="003614C7" w:rsidRDefault="003614C7" w:rsidP="00361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постановляет: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Утвердить Порядок формирования перечня налоговых расходов и оценки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Щигровского  района Курской области.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Постановление вступает в силу со дня его обнародования и распространяется на бюджетные правоотношения, возникшие с 1 января 2022 года.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4C7" w:rsidRDefault="003614C7" w:rsidP="003614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A52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                                        </w:t>
      </w:r>
      <w:r w:rsidR="00DA52C1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 Озеров</w:t>
      </w:r>
    </w:p>
    <w:p w:rsidR="003614C7" w:rsidRDefault="003614C7" w:rsidP="0036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4C7" w:rsidRDefault="003614C7" w:rsidP="00DA52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C1" w:rsidRDefault="00DA52C1" w:rsidP="00DA52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C1" w:rsidRDefault="00DA52C1" w:rsidP="00DA52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C1" w:rsidRDefault="00DA52C1" w:rsidP="00DA52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C1" w:rsidRDefault="00DA52C1" w:rsidP="00DA52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C1" w:rsidRDefault="00DA52C1" w:rsidP="00DA52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C1" w:rsidRDefault="00DA52C1" w:rsidP="00DA52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C1" w:rsidRDefault="00DA52C1" w:rsidP="00DA52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C1" w:rsidRDefault="00DA52C1" w:rsidP="00DA52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4C7" w:rsidRDefault="003614C7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3614C7" w:rsidRDefault="003614C7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3614C7" w:rsidRDefault="00DA52C1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="003614C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3614C7" w:rsidRDefault="00DA52C1" w:rsidP="003614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25.07.2022 г. №53</w:t>
      </w:r>
      <w:r w:rsidR="003614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614C7" w:rsidRDefault="003614C7" w:rsidP="003614C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Порядок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формирования перечня налоговых расходов и оценки налоговых расходов </w:t>
      </w:r>
      <w:r w:rsidR="00DA52C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сельсовета  Щигровского района Курской области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Настоящий Порядок определяет правила формирования перечня налоговых расходов (далее – перечень) и оценку налоговых расходов (далее – оценка)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Щигровского района Курской области 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Налоговые расходы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выпадающие доходы бюджета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(или) целями социально-экономической политики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относящимися к муниципальным программам.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 Перечень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содержит сведения о распределении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 соответствии с целями муниципальных программ и их структурных элементов и (или) целями социально-экономической политики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относящимися к муниципальным программам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а также о кураторах налоговых расходов.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 Кураторы налоговых расходов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(организация), ответственный в соответствии с полномочиями, установленными нормативными правовыми актами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за достижение соответствующих налоговому расходу целей муниципальных программ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(или) целей социально-экономической политики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относящихся к муниципальным программам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 Перечень налоговых расходов (налоговых льгот)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включает все налоговые расходы (налоговые льготы), установленные нормативными правовыми актами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7. Налоговые расходы (налоговые льготы), соответствующие целям социально-экономической политики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реализуемые в рамках нескольких муниципальных программ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относятся к нераспределенным налоговым расходам (налоговым льготам).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8. Налоговые расходы (налоговые льготы), которые не соответствуют перечисленным выше критериям, относятся к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налоговым расходам (налоговым льготам).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9.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Нормативные характеристики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далее-льготы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r:id="rId5" w:anchor="Par133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lang w:eastAsia="ru-RU"/>
          </w:rPr>
          <w:t>приложению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10. Фискальные характеристики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 </w:t>
      </w:r>
      <w:hyperlink r:id="rId6" w:anchor="Par133" w:history="1">
        <w:proofErr w:type="spellStart"/>
        <w:r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lang w:eastAsia="ru-RU"/>
          </w:rPr>
          <w:t>приложением</w:t>
        </w:r>
      </w:hyperlink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настоящему Порядку.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11. Целевые характеристики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r:id="rId7" w:anchor="Par133" w:history="1">
        <w:proofErr w:type="spellStart"/>
        <w:r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lang w:eastAsia="ru-RU"/>
          </w:rPr>
          <w:t>приложением</w:t>
        </w:r>
      </w:hyperlink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настоящему Порядку.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12. Оценка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комплекс мероприятий по оценке объемов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обусловленных льготами, предоставленными плательщикам, а также по оценке эффективности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13. Оценка объемов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определение объемов выпадающих доходов бюджетов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обусловленных льготами, предоставленными плательщикам.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14. Оценка эффективности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15.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Социальные налоговые расходы муниципального образования 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16. Стимулирующие налоговые расходы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целевая категория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поселения,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17. Технические налоговые расходы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- целевая категория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18. В целях оценки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администрация):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а) формирует перечень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б) формирует оценку объемов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за отчетный финансовый год, а также оценку объемов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на текущий финансовый год, очередной финансовый год и плановый период;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в) осуществляет обобщение результатов оценки эффективности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19. В целях оценки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за отчетный финансовый год, а также информацию о стимулирующих налоговых расходах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за 6 лет, предшествующих отчетному финансовому году.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20. В целях оценки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кураторы налоговых расходов: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а) формируют информацию о нормативных, целевых и фискальных характеристиках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предусмотренную </w:t>
      </w:r>
      <w:hyperlink r:id="rId8" w:anchor="Par133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lang w:eastAsia="ru-RU"/>
          </w:rPr>
          <w:t>приложением</w:t>
        </w:r>
      </w:hyperlink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 настоящему Порядку;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осуществляют оценку эффективности каждого курируемого налогового расхода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направляют результаты такой оценки в администрацию.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II. Формирование перечня налоговых расходов </w:t>
      </w:r>
      <w:r w:rsidR="00DA52C1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сельсовета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21. Перечень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случае уточнения структурных элементов муниципальных программ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22. В срок, не позднее 15 рабочих дней после завершения процедур, установленных в пункте 21 настоящего Порядка, перечень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размещается на официальном сайте администрации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 информационно-телекоммуникационной сети «Интернет».</w:t>
      </w:r>
    </w:p>
    <w:p w:rsidR="003614C7" w:rsidRDefault="003614C7" w:rsidP="003614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Порядок оценки налоговых расходов </w:t>
      </w:r>
      <w:r w:rsidR="00DA5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23. Методики оценки эффективности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разрабатываются кураторами налоговых расходов.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24. Оценка эффективности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(в том числе нераспределенных) осуществляется кураторами налоговых расходов и включает: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а) оценку целесообразности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оценку результативности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В целях оценки эффективности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администрация формирует ежегодно, до 1 сентября текущего финансового года, оценку фактических объемов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на основании информации налогового органа.</w:t>
      </w:r>
      <w:proofErr w:type="gramEnd"/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25. Критериями целесообразности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являются: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а) соответствие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целям муниципальных программ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их структурных элементов и (или) целям социально-экономической политики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относящимся к муниципальным программам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(в отношении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непрограммных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налоговых расходов);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востребованность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26. В случае несоответствия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хотя бы одному из критериев, указанных 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27. В качестве критерия результативности налогового расхода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определяется не менее одного показателя (индикатора) достижения целей муниципальной программы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(или) целей социально-экономической политики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относящихся к муниципальным программам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либо иной показатель (индикатор), на значение которого оказывают влияние налоговые расходы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28. Оценка результативности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включает оценку бюджетной эффективности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29.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целях проведения оценки бюджетной эффективности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осуществляется сравнительный анализ результативности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на 1 рубль расходов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30. В качестве альтернативных механизмов достижения целей муниципальной программы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и (или) целей социально-экономической политики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не относящихся к муниципальным программам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могут учитываться в том числе: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предоставление муниципальных гарантий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по обязательствам плательщиков, имеющих право на льготы;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614C7" w:rsidRDefault="003614C7" w:rsidP="003614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 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 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документа, рекомендуется рассчитывать оценку совокупного бюджетного эффекта (самоокупаемости) указанных налоговых расходов в соответствии с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 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документа.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3614C7" w:rsidRDefault="003614C7" w:rsidP="003614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 определяется за период с начала действия для плательщиков соответствующих льгот или за 5 отчетных лет, а в случае, если указанные льготы действуют более 6 лет, - на день проведения оценки эффективности налогового расхода в соответствии с Постановление Правительства РФ от 22.06.2019 N 796 «Об общих требованиях к оценке налоговых расходов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образований» (с изменениями и дополнениями).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33. По итогам оценки эффективности налогового расхода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куратор налогового расхода формулирует выводы о достижении целевых характеристик налогового расхода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сельсовета: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о значимости вклада налогового расхода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в достижение соответствующих показателей (индикаторов);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34. По результатам оценки эффективности соответствующих налоговых расходов куратор налогового расхода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формирует общий вывод о степени их эффективности и рекомендации о целесообразности их дальнейшего осуществления.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Результаты оценки эффективности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35.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Оценку результативности налоговых расходов муниципальных образований допускается не проводить в отношении технических налоговых расходов муниципальных образований.</w:t>
      </w:r>
    </w:p>
    <w:p w:rsidR="003614C7" w:rsidRDefault="003614C7" w:rsidP="003614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36. Результаты оценки налоговых расходов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учитываются при формировании основных направлений бюджетной, налоговой и долговой политики </w:t>
      </w:r>
      <w:r w:rsidR="00DA52C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сельсовета, а также при проведении оценки эффективности реализации муниципальных программ.</w:t>
      </w:r>
    </w:p>
    <w:p w:rsidR="003614C7" w:rsidRDefault="003614C7" w:rsidP="003614C7">
      <w:pPr>
        <w:rPr>
          <w:sz w:val="24"/>
          <w:szCs w:val="24"/>
        </w:rPr>
      </w:pPr>
    </w:p>
    <w:p w:rsidR="003614C7" w:rsidRDefault="003614C7" w:rsidP="003614C7">
      <w:pPr>
        <w:rPr>
          <w:sz w:val="24"/>
          <w:szCs w:val="24"/>
        </w:rPr>
      </w:pPr>
    </w:p>
    <w:p w:rsidR="003614C7" w:rsidRDefault="003614C7" w:rsidP="003614C7">
      <w:pPr>
        <w:rPr>
          <w:sz w:val="24"/>
          <w:szCs w:val="24"/>
        </w:rPr>
      </w:pPr>
    </w:p>
    <w:p w:rsidR="003614C7" w:rsidRDefault="002069FB" w:rsidP="0036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9FB">
        <w:rPr>
          <w:noProof/>
          <w:lang w:eastAsia="ru-RU"/>
        </w:rPr>
      </w:r>
      <w:r w:rsidRPr="002069FB">
        <w:rPr>
          <w:noProof/>
          <w:lang w:eastAsia="ru-RU"/>
        </w:rPr>
        <w:pict>
          <v:rect id="Прямоугольник 2" o:spid="_x0000_s1026" alt="https://base.garant.ru/72278816/?ysclid=l4wd9mdsmf943906294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bZsCgMAAAwGAAAOAAAAZHJzL2Uyb0RvYy54bWysVNtu1DAQfUfiHyy/Z3Op95KoadVuugip&#10;QKXCB3gTZxOR2MH2brYgJCRekfgEPoIXxKXfkP4RY2e33W1fEOAHy/bYZ+bMHM/h8bqu0IpJVQoe&#10;Y3/gYcR4KrKSL2L86uXMmWCkNOUZrQRnMb5iCh8fPX502DYRC0QhqoxJBCBcRW0T40LrJnJdlRas&#10;pmogGsbBmAtZUw1buXAzSVtArys38LyR2wqZNVKkTCk4TXojPrL4ec5S/SLPFdOoijHEpu0s7Tw3&#10;s3t0SKOFpE1Rppsw6F9EUdOSg9NbqIRqipayfABVl6kUSuR6kIraFXlepsxyADa+d4/NZUEbZrlA&#10;clRzmyb1/2DT56sLicosxgFGnNZQou7LzYebz93P7vrmY/e1u+5+3HzqfnXfuu8I7mRMpZA/UycF&#10;hZpTxQYLKinXA7l0x0Ewnkz8kXt8pdIKYCvSZmGdqToPyUHojYKQmJy38BhcXzYX0mRNNecifa0Q&#10;F9OC8gU7UQ1UDvQEMW2PpBRtwWgG5H0D4e5hmI0CNDRvn4kMWNClFrYi61zWxgfkGq1t4a9uC8/W&#10;GqVweOCRiQfySMG0WRsPNNo+bqTST5iokVnEWEJ0FpyuzpXur26vGF9czMqqgnMaVXzvADD7E3AN&#10;T43NBGGl8i70wrPJ2YQ4JBidOcRLEudkNiXOaOaPh8lBMp0m/nvj1ydRUWYZ48bNVrY++TNZbD5Q&#10;L7hb4SoB5TJwJiQlF/NpJdGKwreZ2WFTDpa7a+5+GDZfwOUeJT8g3mkQOrPRZOyQGRk64dibOJ4f&#10;noYjj4Qkme1TOi85+3dKqI1xOAyGtko7Qd/j5tnxkBuN6lJDY6rKOsYgDRjmEo2MAs94ZteallW/&#10;3kmFCf8uFVDubaGtXo1Ee/XPRXYFcpUC5ATKgxYKi0LItxi10I5irN4sqWQYVU85SD70CTH9y27I&#10;cBzARu5a5rsWylOAirHGqF9Odd/zlo0sFwV48m1iuDiBb5KXVsLmC/VRbT4XtBzLZNMeTU/b3dtb&#10;d0386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uZ22bAoDAAAMBgAADgAAAAAAAAAAAAAAAAAuAgAAZHJzL2Uyb0RvYy54bWxQ&#10;SwECLQAUAAYACAAAACEATKDpLNgAAAADAQAADwAAAAAAAAAAAAAAAABkBQAAZHJzL2Rvd25yZXYu&#10;eG1sUEsFBgAAAAAEAAQA8wAAAGkGAAAAAA==&#10;" filled="f" stroked="f">
            <o:lock v:ext="edit" aspectratio="t"/>
            <w10:wrap type="none"/>
            <w10:anchorlock/>
          </v:rect>
        </w:pict>
      </w:r>
    </w:p>
    <w:p w:rsidR="003614C7" w:rsidRDefault="003614C7" w:rsidP="003614C7">
      <w:pPr>
        <w:rPr>
          <w:sz w:val="24"/>
          <w:szCs w:val="24"/>
        </w:rPr>
      </w:pPr>
    </w:p>
    <w:p w:rsidR="00406092" w:rsidRDefault="00406092">
      <w:bookmarkStart w:id="0" w:name="_GoBack"/>
      <w:bookmarkEnd w:id="0"/>
    </w:p>
    <w:sectPr w:rsidR="00406092" w:rsidSect="0020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4C7"/>
    <w:rsid w:val="002069FB"/>
    <w:rsid w:val="003614C7"/>
    <w:rsid w:val="00406092"/>
    <w:rsid w:val="00DA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C7"/>
  </w:style>
  <w:style w:type="paragraph" w:styleId="4">
    <w:name w:val="heading 4"/>
    <w:basedOn w:val="a"/>
    <w:link w:val="40"/>
    <w:uiPriority w:val="9"/>
    <w:semiHidden/>
    <w:unhideWhenUsed/>
    <w:qFormat/>
    <w:rsid w:val="00361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614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614C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614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C7"/>
  </w:style>
  <w:style w:type="paragraph" w:styleId="4">
    <w:name w:val="heading 4"/>
    <w:basedOn w:val="a"/>
    <w:link w:val="40"/>
    <w:uiPriority w:val="9"/>
    <w:semiHidden/>
    <w:unhideWhenUsed/>
    <w:qFormat/>
    <w:rsid w:val="00361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614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614C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614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\%D1%81%D0%B0%D0%B9%D1%82\2011201945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1\%D1%81%D0%B0%D0%B9%D1%82\201120194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1\%D1%81%D0%B0%D0%B9%D1%82\2011201945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1\%D1%81%D0%B0%D0%B9%D1%82\2011201945.do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2547</Words>
  <Characters>14519</Characters>
  <Application>Microsoft Office Word</Application>
  <DocSecurity>0</DocSecurity>
  <Lines>120</Lines>
  <Paragraphs>34</Paragraphs>
  <ScaleCrop>false</ScaleCrop>
  <Company>Reanimator Extreme Edition</Company>
  <LinksUpToDate>false</LinksUpToDate>
  <CharactersWithSpaces>17032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4</cp:revision>
  <dcterms:created xsi:type="dcterms:W3CDTF">2022-07-25T06:56:00Z</dcterms:created>
  <dcterms:modified xsi:type="dcterms:W3CDTF">2022-07-26T06:13:00Z</dcterms:modified>
</cp:coreProperties>
</file>