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АДМИНИСТРАЦИЯ</w:t>
      </w:r>
    </w:p>
    <w:p w:rsidR="008D6E87" w:rsidRPr="008A27A5" w:rsidRDefault="00976FE4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>
        <w:rPr>
          <w:rStyle w:val="a4"/>
          <w:color w:val="292D24"/>
        </w:rPr>
        <w:t>ТРОИЦКОКРАСНЯНСКОГО</w:t>
      </w:r>
      <w:r w:rsidR="008D6E87" w:rsidRPr="008A27A5">
        <w:rPr>
          <w:rStyle w:val="a4"/>
          <w:color w:val="292D24"/>
        </w:rPr>
        <w:t xml:space="preserve"> СЕЛЬСОВЕТА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ЩИГРОВСКОГО РАЙОНА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КУРСКОЙ ОБЛАСТИ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ПОСТАНОВЛЕНИЕ</w:t>
      </w:r>
    </w:p>
    <w:p w:rsidR="008D6E87" w:rsidRPr="008A27A5" w:rsidRDefault="00C926C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О</w:t>
      </w:r>
      <w:r w:rsidR="008D6E87" w:rsidRPr="008A27A5">
        <w:rPr>
          <w:rStyle w:val="a4"/>
          <w:color w:val="292D24"/>
        </w:rPr>
        <w:t>т</w:t>
      </w:r>
      <w:r>
        <w:rPr>
          <w:rStyle w:val="a4"/>
          <w:color w:val="292D24"/>
        </w:rPr>
        <w:t xml:space="preserve">»25» </w:t>
      </w:r>
      <w:r w:rsidR="008D6E87" w:rsidRPr="008A27A5">
        <w:rPr>
          <w:rStyle w:val="a4"/>
          <w:color w:val="292D24"/>
        </w:rPr>
        <w:t xml:space="preserve">  марта 2022 года №</w:t>
      </w:r>
      <w:r w:rsidR="00F73FDB">
        <w:rPr>
          <w:rStyle w:val="a4"/>
          <w:color w:val="292D24"/>
        </w:rPr>
        <w:t xml:space="preserve">  </w:t>
      </w:r>
      <w:r>
        <w:rPr>
          <w:rStyle w:val="a4"/>
          <w:color w:val="292D24"/>
        </w:rPr>
        <w:t>30</w:t>
      </w:r>
      <w:r w:rsidR="00F73FDB">
        <w:rPr>
          <w:rStyle w:val="a4"/>
          <w:color w:val="292D24"/>
        </w:rPr>
        <w:t xml:space="preserve">      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Об утверждении Положения о контрактном управляющем администрации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 по осуществлению закупок для нужд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</w:t>
      </w:r>
      <w:r w:rsidR="0041011C" w:rsidRPr="008A27A5">
        <w:rPr>
          <w:color w:val="292D24"/>
        </w:rPr>
        <w:t>окураты Щигровского района от 25</w:t>
      </w:r>
      <w:r w:rsidRPr="008A27A5">
        <w:rPr>
          <w:color w:val="292D24"/>
        </w:rPr>
        <w:t xml:space="preserve">.02.2022 г., администрация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 </w:t>
      </w:r>
      <w:r w:rsidRPr="008A27A5">
        <w:rPr>
          <w:rStyle w:val="a4"/>
          <w:color w:val="292D24"/>
        </w:rPr>
        <w:t>ПОСТАНОВЛЯЕТ:</w:t>
      </w:r>
    </w:p>
    <w:p w:rsidR="00F73FDB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 </w:t>
      </w:r>
      <w:r w:rsidRPr="008A27A5">
        <w:rPr>
          <w:color w:val="292D24"/>
        </w:rPr>
        <w:t xml:space="preserve">1. Утвердить Положение о контрактном управляющем администрации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 по осуществлению закупок для нужд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</w:t>
      </w:r>
      <w:r w:rsidR="00F73FDB">
        <w:rPr>
          <w:color w:val="292D24"/>
        </w:rPr>
        <w:t>кого района согласно приложе</w:t>
      </w:r>
      <w:r w:rsidR="00976FE4">
        <w:rPr>
          <w:color w:val="292D24"/>
        </w:rPr>
        <w:t>ния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F73FDB">
        <w:rPr>
          <w:color w:val="292D24"/>
        </w:rPr>
        <w:t xml:space="preserve">2. Постановление Администрации </w:t>
      </w:r>
      <w:r w:rsidR="00976FE4">
        <w:rPr>
          <w:color w:val="292D24"/>
        </w:rPr>
        <w:t>Троицкокраснянского</w:t>
      </w:r>
      <w:r w:rsidR="0041011C" w:rsidRPr="00F73FDB">
        <w:rPr>
          <w:color w:val="292D24"/>
        </w:rPr>
        <w:t xml:space="preserve"> сельсовета</w:t>
      </w:r>
      <w:r w:rsidR="00976FE4">
        <w:rPr>
          <w:color w:val="292D24"/>
        </w:rPr>
        <w:t xml:space="preserve"> </w:t>
      </w:r>
      <w:r w:rsidR="00976FE4">
        <w:t>от 17.03.2014 г. № 5 (</w:t>
      </w:r>
      <w:r w:rsidR="00F73FDB" w:rsidRPr="00F73FDB">
        <w:t>в редакции</w:t>
      </w:r>
      <w:r w:rsidR="00976FE4">
        <w:t xml:space="preserve"> Постановления от 25.02.20г. № 2</w:t>
      </w:r>
      <w:r w:rsidR="00F73FDB" w:rsidRPr="00F73FDB">
        <w:t>2)</w:t>
      </w:r>
      <w:r w:rsidRPr="00F73FDB">
        <w:rPr>
          <w:color w:val="292D24"/>
        </w:rPr>
        <w:t>«</w:t>
      </w:r>
      <w:r w:rsidR="00F73FDB" w:rsidRPr="00F73FDB">
        <w:t>Об утверждении положения</w:t>
      </w:r>
      <w:r w:rsidR="00976FE4">
        <w:t xml:space="preserve"> </w:t>
      </w:r>
      <w:r w:rsidR="00F73FDB" w:rsidRPr="00F73FDB">
        <w:t>о контрактной службе Администрации</w:t>
      </w:r>
      <w:r w:rsidR="00976FE4">
        <w:t xml:space="preserve"> Троицкокраснянского</w:t>
      </w:r>
      <w:r w:rsidR="00F73FDB" w:rsidRPr="00F73FDB">
        <w:t xml:space="preserve"> сельсовета</w:t>
      </w:r>
      <w:r w:rsidRPr="008A27A5">
        <w:rPr>
          <w:color w:val="292D24"/>
        </w:rPr>
        <w:t>", признать утратившим силу.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3. Контроль за исполнением настоящего Постановления оставляю за собой.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4. Постановление вступает в силу со дня его </w:t>
      </w:r>
      <w:r w:rsidR="0041011C" w:rsidRPr="008A27A5">
        <w:rPr>
          <w:color w:val="292D24"/>
        </w:rPr>
        <w:t>обнародования.</w:t>
      </w:r>
    </w:p>
    <w:p w:rsidR="00F73FDB" w:rsidRDefault="00F73FDB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bookmarkStart w:id="0" w:name="_GoBack"/>
      <w:bookmarkEnd w:id="0"/>
      <w:r w:rsidRPr="008A27A5">
        <w:rPr>
          <w:color w:val="292D24"/>
        </w:rPr>
        <w:t xml:space="preserve">Глава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</w:t>
      </w:r>
      <w:r w:rsidR="00976FE4">
        <w:rPr>
          <w:color w:val="292D24"/>
        </w:rPr>
        <w:t xml:space="preserve">                      Г.А. Озеров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976FE4" w:rsidRPr="008A27A5" w:rsidRDefault="00976FE4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8A27A5">
        <w:rPr>
          <w:color w:val="292D24"/>
        </w:rPr>
        <w:lastRenderedPageBreak/>
        <w:t>Приложение</w:t>
      </w:r>
    </w:p>
    <w:p w:rsidR="008D6E87" w:rsidRPr="008A27A5" w:rsidRDefault="008D6E87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8A27A5">
        <w:rPr>
          <w:color w:val="292D24"/>
        </w:rPr>
        <w:t>к постановлению администрации  </w:t>
      </w:r>
    </w:p>
    <w:p w:rsidR="008D6E87" w:rsidRPr="008A27A5" w:rsidRDefault="00976FE4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</w:t>
      </w:r>
    </w:p>
    <w:p w:rsidR="008D6E87" w:rsidRPr="008A27A5" w:rsidRDefault="008D6E87" w:rsidP="00976FE4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8A27A5">
        <w:rPr>
          <w:color w:val="292D24"/>
        </w:rPr>
        <w:t xml:space="preserve">от 03.2022 г. № 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Положение о контрактном управляющем администрации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 по осуществлению закупок для нужд </w:t>
      </w:r>
      <w:r w:rsidR="00976FE4">
        <w:rPr>
          <w:rStyle w:val="a4"/>
          <w:color w:val="292D24"/>
        </w:rPr>
        <w:t>Троицкокраснянского</w:t>
      </w:r>
      <w:r w:rsidRPr="008A27A5">
        <w:rPr>
          <w:rStyle w:val="a4"/>
          <w:color w:val="292D24"/>
        </w:rPr>
        <w:t xml:space="preserve"> сельсовета Щигровского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1. Общие положения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1.</w:t>
      </w:r>
      <w:r w:rsidRPr="008A27A5">
        <w:rPr>
          <w:color w:val="292D24"/>
        </w:rPr>
        <w:t xml:space="preserve"> Настоящее Положение о контрактном управляющем администрации 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 по осуществлению закупок для нужд  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 Щигровского района.</w:t>
      </w:r>
    </w:p>
    <w:p w:rsidR="008D6E87" w:rsidRPr="008A27A5" w:rsidRDefault="008A27A5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>
        <w:rPr>
          <w:rStyle w:val="a4"/>
          <w:color w:val="292D24"/>
        </w:rPr>
        <w:t xml:space="preserve">           Статья </w:t>
      </w:r>
      <w:r w:rsidR="008D6E87" w:rsidRPr="008A27A5">
        <w:rPr>
          <w:rStyle w:val="a4"/>
          <w:color w:val="292D24"/>
        </w:rPr>
        <w:t>2</w:t>
      </w:r>
      <w:r>
        <w:rPr>
          <w:color w:val="292D24"/>
        </w:rPr>
        <w:t xml:space="preserve">. Должность контрактного </w:t>
      </w:r>
      <w:r w:rsidR="008D6E87" w:rsidRPr="008A27A5">
        <w:rPr>
          <w:color w:val="292D24"/>
        </w:rPr>
        <w:t>управляющего администрации  </w:t>
      </w:r>
      <w:r w:rsidR="00976FE4"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 (далее контрактный управляющий) создается в целях обеспечения планирования и осуществления администрацией  </w:t>
      </w:r>
      <w:r w:rsidR="00976FE4"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нужд  </w:t>
      </w:r>
      <w:r w:rsidR="00976FE4">
        <w:rPr>
          <w:color w:val="292D24"/>
        </w:rPr>
        <w:t>Троицкокраснянского</w:t>
      </w:r>
      <w:r w:rsidR="008D6E87" w:rsidRPr="008A27A5">
        <w:rPr>
          <w:color w:val="292D24"/>
        </w:rPr>
        <w:t xml:space="preserve"> сельсовета Щигровского района (далее - закупка).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З.</w:t>
      </w:r>
      <w:r w:rsidRPr="008A27A5">
        <w:rPr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4.</w:t>
      </w:r>
      <w:r w:rsidRPr="008A27A5">
        <w:rPr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5.</w:t>
      </w:r>
      <w:r w:rsidRPr="008A27A5">
        <w:rPr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2. Порядок назначения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6.</w:t>
      </w:r>
      <w:r w:rsidRPr="008A27A5">
        <w:rPr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Контрактный управляющий должен иметь высшее </w:t>
      </w:r>
      <w:r w:rsidR="0041011C" w:rsidRPr="008A27A5">
        <w:rPr>
          <w:color w:val="292D24"/>
        </w:rPr>
        <w:t>о</w:t>
      </w:r>
      <w:r w:rsidRPr="008A27A5">
        <w:rPr>
          <w:color w:val="292D24"/>
        </w:rPr>
        <w:t>бразование  и  дополнительное профессиональное образование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З. Функции и полномочия контрактного управляющего: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7.</w:t>
      </w:r>
      <w:r w:rsidRPr="008A27A5">
        <w:rPr>
          <w:color w:val="292D24"/>
        </w:rPr>
        <w:t> При планировании закупок: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разрабатывает план-закупок, осуществляет подготовку изменений  для внесения в план-закупок, размещает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организует утверждение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определяет и обосновывает начальную (максимальную) цену контракта , заключаемого с единственным поставщиком (подрядчиком,  исполнителем) при формировании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8.</w:t>
      </w:r>
      <w:r w:rsidRPr="008A27A5">
        <w:rPr>
          <w:color w:val="292D24"/>
        </w:rPr>
        <w:t> При определении поставщиков (подрядчиков, исполнителей):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выбирает способ определения поставщика (подрядчика, исполнителя)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правомочности участника закупки заключать контракт;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у)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З статьи 84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вустановленным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ч) обеспечивает заключение контрактов;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9.</w:t>
      </w:r>
      <w:r w:rsidRPr="008A27A5">
        <w:rPr>
          <w:color w:val="292D24"/>
        </w:rPr>
        <w:t> При исполнении, изменении, расторжении контракта: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вслучае нарушения поставщиком (подрядчиком, исполнителем) условий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</w:t>
      </w:r>
      <w:r w:rsidRPr="008A27A5">
        <w:rPr>
          <w:color w:val="292D24"/>
        </w:rPr>
        <w:lastRenderedPageBreak/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10.</w:t>
      </w:r>
      <w:r w:rsidRPr="008A27A5">
        <w:rPr>
          <w:color w:val="292D24"/>
        </w:rPr>
        <w:t> Осуществляет иные полномочия, предусмотренные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r w:rsidR="00976FE4">
        <w:rPr>
          <w:color w:val="292D24"/>
        </w:rPr>
        <w:t>Троицкокраснянского</w:t>
      </w:r>
      <w:r w:rsidRPr="008A27A5">
        <w:rPr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государственной корпорацией развития "ВЭБ.РФ";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всоответствии с пунктом 1 части 1 статьи 30 настоящего Федерального закона);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11.</w:t>
      </w:r>
      <w:r w:rsidRPr="008A27A5">
        <w:rPr>
          <w:color w:val="292D24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4. Ответственность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12.</w:t>
      </w:r>
      <w:r w:rsidRPr="008A27A5">
        <w:rPr>
          <w:color w:val="292D24"/>
        </w:rPr>
        <w:t> 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13.</w:t>
      </w:r>
      <w:r w:rsidRPr="008A27A5">
        <w:rPr>
          <w:color w:val="292D24"/>
        </w:rPr>
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</w:t>
      </w:r>
      <w:r w:rsidRPr="008A27A5">
        <w:rPr>
          <w:color w:val="292D24"/>
        </w:rPr>
        <w:lastRenderedPageBreak/>
        <w:t>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14.</w:t>
      </w:r>
      <w:r w:rsidRPr="008A27A5">
        <w:rPr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8A27A5" w:rsidRDefault="005C1616" w:rsidP="008A27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616" w:rsidRPr="008A27A5" w:rsidSect="00BF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8D6E87"/>
    <w:rsid w:val="0041011C"/>
    <w:rsid w:val="005C1616"/>
    <w:rsid w:val="008A27A5"/>
    <w:rsid w:val="008B0364"/>
    <w:rsid w:val="008D6E87"/>
    <w:rsid w:val="00976FE4"/>
    <w:rsid w:val="00B07262"/>
    <w:rsid w:val="00B90085"/>
    <w:rsid w:val="00BF5304"/>
    <w:rsid w:val="00C926C7"/>
    <w:rsid w:val="00F7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NoSpacing"/>
    <w:locked/>
    <w:rsid w:val="00F73FDB"/>
    <w:rPr>
      <w:rFonts w:ascii="Calibri" w:hAnsi="Calibri"/>
      <w:lang w:val="en-US"/>
    </w:rPr>
  </w:style>
  <w:style w:type="paragraph" w:customStyle="1" w:styleId="NoSpacing">
    <w:name w:val="No Spacing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7</cp:revision>
  <cp:lastPrinted>2022-03-18T10:31:00Z</cp:lastPrinted>
  <dcterms:created xsi:type="dcterms:W3CDTF">2022-03-16T08:42:00Z</dcterms:created>
  <dcterms:modified xsi:type="dcterms:W3CDTF">2022-03-25T11:35:00Z</dcterms:modified>
</cp:coreProperties>
</file>